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28EFA" w14:textId="77777777" w:rsidR="00B45AD2" w:rsidRDefault="00054C47" w:rsidP="00EE2C6E">
      <w:pPr>
        <w:pStyle w:val="Heading2"/>
      </w:pPr>
      <w:r w:rsidRPr="00A40872">
        <w:rPr>
          <w:noProof/>
          <w:lang w:eastAsia="ko-KR"/>
        </w:rPr>
        <w:drawing>
          <wp:inline distT="0" distB="0" distL="0" distR="0" wp14:anchorId="49848295" wp14:editId="7B927A9F">
            <wp:extent cx="1856393" cy="609653"/>
            <wp:effectExtent l="0" t="0" r="0" b="0"/>
            <wp:docPr id="2" name="Picture 2"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14:paraId="6953D5E0" w14:textId="77777777" w:rsidR="00970CEF" w:rsidRDefault="00B2615F" w:rsidP="00970CEF">
      <w:pPr>
        <w:rPr>
          <w:rStyle w:val="Heading1Char"/>
        </w:rPr>
      </w:pPr>
      <w:r>
        <w:rPr>
          <w:rStyle w:val="Heading1Char"/>
        </w:rPr>
        <w:t xml:space="preserve">2014-2015 </w:t>
      </w:r>
      <w:r w:rsidR="00970CEF" w:rsidRPr="00970CEF">
        <w:rPr>
          <w:rStyle w:val="Heading1Char"/>
        </w:rPr>
        <w:t>World’s Best Workforce Report Summary</w:t>
      </w:r>
      <w:r w:rsidR="00666C24">
        <w:rPr>
          <w:rStyle w:val="Heading1Char"/>
        </w:rPr>
        <w:t xml:space="preserve"> </w:t>
      </w:r>
      <w:r w:rsidR="00F4600C">
        <w:rPr>
          <w:rStyle w:val="Heading1Char"/>
        </w:rPr>
        <w:t>and Annual Report</w:t>
      </w:r>
    </w:p>
    <w:p w14:paraId="5040D009" w14:textId="77777777" w:rsidR="00666C24" w:rsidRPr="00C30032" w:rsidRDefault="00F05C48" w:rsidP="00C30032">
      <w:pPr>
        <w:pStyle w:val="List"/>
        <w:tabs>
          <w:tab w:val="left" w:pos="9900"/>
        </w:tabs>
        <w:spacing w:after="120"/>
        <w:rPr>
          <w:rStyle w:val="Heading1Char"/>
          <w:b w:val="0"/>
          <w:sz w:val="22"/>
          <w:szCs w:val="22"/>
          <w:u w:val="single"/>
        </w:rPr>
      </w:pPr>
      <w:r>
        <w:rPr>
          <w:rStyle w:val="Heading1Char"/>
          <w:b w:val="0"/>
          <w:sz w:val="22"/>
          <w:szCs w:val="22"/>
        </w:rPr>
        <w:t xml:space="preserve">District or Charter Name:  Sejong Academy </w:t>
      </w:r>
    </w:p>
    <w:p w14:paraId="6179C50E" w14:textId="77777777" w:rsidR="00666C24" w:rsidRPr="00C30032" w:rsidRDefault="00666C24" w:rsidP="00C30032">
      <w:pPr>
        <w:pStyle w:val="List"/>
        <w:tabs>
          <w:tab w:val="left" w:pos="9900"/>
        </w:tabs>
        <w:spacing w:after="120"/>
        <w:rPr>
          <w:rStyle w:val="Heading1Char"/>
          <w:b w:val="0"/>
          <w:sz w:val="22"/>
          <w:szCs w:val="22"/>
          <w:u w:val="single"/>
        </w:rPr>
      </w:pPr>
      <w:r w:rsidRPr="00CF08AF">
        <w:rPr>
          <w:rStyle w:val="Heading1Char"/>
          <w:b w:val="0"/>
          <w:sz w:val="22"/>
          <w:szCs w:val="22"/>
        </w:rPr>
        <w:t xml:space="preserve">Contact Person Name </w:t>
      </w:r>
      <w:r w:rsidR="00F05C48">
        <w:rPr>
          <w:rStyle w:val="Heading1Char"/>
          <w:b w:val="0"/>
          <w:sz w:val="22"/>
          <w:szCs w:val="22"/>
        </w:rPr>
        <w:t>and Position:  Brad Tipka, Executive Director</w:t>
      </w:r>
    </w:p>
    <w:p w14:paraId="1789977C" w14:textId="77777777" w:rsidR="00E30133" w:rsidRDefault="00970CEF" w:rsidP="00C30032">
      <w:pPr>
        <w:pStyle w:val="NoSpacing"/>
        <w:spacing w:before="240"/>
      </w:pPr>
      <w:r>
        <w:t>In accordance with Minnesota Statutes, section 120B.11, a</w:t>
      </w:r>
      <w:r w:rsidRPr="00D175E8">
        <w:t xml:space="preserve"> school board, at a public meeting, shall adopt a comprehensive, long-term strategic plan</w:t>
      </w:r>
      <w:r w:rsidRPr="00B61468">
        <w:t xml:space="preserve"> to support and improve teaching and learning that is aligned with creating th</w:t>
      </w:r>
      <w:r w:rsidR="000A10C7">
        <w:t xml:space="preserve">e world's best workforce. The school board must publish an annual report </w:t>
      </w:r>
      <w:r w:rsidR="00CE0D62">
        <w:t xml:space="preserve">on the previous year’s plan </w:t>
      </w:r>
      <w:r w:rsidR="000A10C7">
        <w:t>and hold an annual public meeting to review goals, outcomes and strategies. An</w:t>
      </w:r>
      <w:r>
        <w:t xml:space="preserve"> electronic </w:t>
      </w:r>
      <w:r w:rsidRPr="00556E29">
        <w:rPr>
          <w:i/>
        </w:rPr>
        <w:t>summary</w:t>
      </w:r>
      <w:r>
        <w:t xml:space="preserve"> of </w:t>
      </w:r>
      <w:r w:rsidR="000A10C7">
        <w:t>the</w:t>
      </w:r>
      <w:r>
        <w:t xml:space="preserve"> </w:t>
      </w:r>
      <w:r w:rsidR="00556E29">
        <w:t xml:space="preserve">annual </w:t>
      </w:r>
      <w:r w:rsidRPr="00556E29">
        <w:t xml:space="preserve">report </w:t>
      </w:r>
      <w:r w:rsidR="000A10C7">
        <w:t xml:space="preserve">must be sent </w:t>
      </w:r>
      <w:r>
        <w:t xml:space="preserve">to the </w:t>
      </w:r>
      <w:r w:rsidR="000A10C7">
        <w:t>Commissioner of</w:t>
      </w:r>
      <w:r>
        <w:t xml:space="preserve"> Education each fall.</w:t>
      </w:r>
    </w:p>
    <w:p w14:paraId="14852B05" w14:textId="77777777" w:rsidR="00633737" w:rsidRDefault="00633737" w:rsidP="00BC473E">
      <w:pPr>
        <w:pStyle w:val="NoSpacing"/>
      </w:pPr>
    </w:p>
    <w:p w14:paraId="53D0106B" w14:textId="77777777" w:rsidR="00BC473E" w:rsidRDefault="00E30133" w:rsidP="00BC473E">
      <w:pPr>
        <w:pStyle w:val="NoSpacing"/>
      </w:pPr>
      <w:r>
        <w:t xml:space="preserve">This document serves as the required template for submission of the 2014-2015 report summary.  Districts must submit this completed template by </w:t>
      </w:r>
      <w:r w:rsidR="00633737" w:rsidRPr="00F701CD">
        <w:rPr>
          <w:b/>
        </w:rPr>
        <w:t>December 1</w:t>
      </w:r>
      <w:r w:rsidRPr="00F701CD">
        <w:rPr>
          <w:b/>
        </w:rPr>
        <w:t>, 2015</w:t>
      </w:r>
      <w:r>
        <w:t xml:space="preserve"> to </w:t>
      </w:r>
      <w:hyperlink r:id="rId9" w:history="1">
        <w:r w:rsidRPr="00DF0210">
          <w:rPr>
            <w:rStyle w:val="Hyperlink"/>
          </w:rPr>
          <w:t>MDE.WorldsBestWorkForce@state.mn.us</w:t>
        </w:r>
      </w:hyperlink>
      <w:r>
        <w:t>.</w:t>
      </w:r>
      <w:r w:rsidR="0017210C">
        <w:t xml:space="preserve"> </w:t>
      </w:r>
    </w:p>
    <w:p w14:paraId="7012BC26" w14:textId="77777777" w:rsidR="00F4600C" w:rsidRDefault="00F4600C" w:rsidP="00F4600C">
      <w:pPr>
        <w:pStyle w:val="List"/>
        <w:spacing w:before="360"/>
        <w:ind w:left="0" w:firstLine="0"/>
        <w:rPr>
          <w:rStyle w:val="Heading2Char"/>
        </w:rPr>
      </w:pPr>
      <w:r>
        <w:rPr>
          <w:rStyle w:val="Heading2Char"/>
        </w:rPr>
        <w:t>School Enrollment</w:t>
      </w:r>
      <w:r w:rsidR="00051D24">
        <w:rPr>
          <w:rStyle w:val="Heading2Char"/>
        </w:rPr>
        <w:t xml:space="preserve">, Staffing and Student Attrition </w:t>
      </w:r>
    </w:p>
    <w:p w14:paraId="19C8F17F" w14:textId="77777777" w:rsidR="00F4600C" w:rsidRDefault="00F4600C" w:rsidP="00C30032">
      <w:pPr>
        <w:pStyle w:val="List"/>
        <w:spacing w:before="360"/>
        <w:rPr>
          <w:rStyle w:val="Heading2Char"/>
          <w:b w:val="0"/>
          <w:sz w:val="22"/>
          <w:szCs w:val="22"/>
        </w:rPr>
      </w:pPr>
      <w:r>
        <w:rPr>
          <w:rStyle w:val="Heading2Char"/>
          <w:b w:val="0"/>
          <w:sz w:val="22"/>
          <w:szCs w:val="22"/>
        </w:rPr>
        <w:t xml:space="preserve">Sejong maintained an enrollment of 62 for the 2014-2015 school year with over 90% of our students </w:t>
      </w:r>
    </w:p>
    <w:p w14:paraId="4CE559FF" w14:textId="77777777" w:rsidR="00F4600C" w:rsidRDefault="00F4600C" w:rsidP="00C30032">
      <w:pPr>
        <w:pStyle w:val="List"/>
        <w:spacing w:before="360"/>
        <w:rPr>
          <w:rStyle w:val="Heading2Char"/>
          <w:b w:val="0"/>
          <w:sz w:val="22"/>
          <w:szCs w:val="22"/>
        </w:rPr>
      </w:pPr>
      <w:r>
        <w:rPr>
          <w:rStyle w:val="Heading2Char"/>
          <w:b w:val="0"/>
          <w:sz w:val="22"/>
          <w:szCs w:val="22"/>
        </w:rPr>
        <w:t xml:space="preserve">Identifying as Asian.  We also had over 70% free and reduced lunch students and over 65% English </w:t>
      </w:r>
    </w:p>
    <w:p w14:paraId="15BA62B5" w14:textId="77777777" w:rsidR="00051D24" w:rsidRDefault="00F4600C" w:rsidP="00C30032">
      <w:pPr>
        <w:pStyle w:val="List"/>
        <w:spacing w:before="360"/>
        <w:rPr>
          <w:rStyle w:val="Heading2Char"/>
          <w:b w:val="0"/>
          <w:sz w:val="22"/>
          <w:szCs w:val="22"/>
        </w:rPr>
      </w:pPr>
      <w:r>
        <w:rPr>
          <w:rStyle w:val="Heading2Char"/>
          <w:b w:val="0"/>
          <w:sz w:val="22"/>
          <w:szCs w:val="22"/>
        </w:rPr>
        <w:t xml:space="preserve">Learner students.  </w:t>
      </w:r>
      <w:r w:rsidR="00051D24">
        <w:rPr>
          <w:rStyle w:val="Heading2Char"/>
          <w:b w:val="0"/>
          <w:sz w:val="22"/>
          <w:szCs w:val="22"/>
        </w:rPr>
        <w:t>We had two students in Special Education with several others receiving speech and</w:t>
      </w:r>
    </w:p>
    <w:p w14:paraId="2A696FC7" w14:textId="77777777" w:rsidR="00051D24" w:rsidRDefault="00051D24" w:rsidP="00C30032">
      <w:pPr>
        <w:pStyle w:val="List"/>
        <w:spacing w:before="360"/>
        <w:rPr>
          <w:rStyle w:val="Heading2Char"/>
          <w:b w:val="0"/>
          <w:sz w:val="22"/>
          <w:szCs w:val="22"/>
        </w:rPr>
      </w:pPr>
      <w:r>
        <w:rPr>
          <w:rStyle w:val="Heading2Char"/>
          <w:b w:val="0"/>
          <w:sz w:val="22"/>
          <w:szCs w:val="22"/>
        </w:rPr>
        <w:t xml:space="preserve">early intervention services.  </w:t>
      </w:r>
      <w:r w:rsidR="00F4600C">
        <w:rPr>
          <w:rStyle w:val="Heading2Char"/>
          <w:b w:val="0"/>
          <w:sz w:val="22"/>
          <w:szCs w:val="22"/>
        </w:rPr>
        <w:t xml:space="preserve">We had 6 teachers and two administrators as well as some part-time </w:t>
      </w:r>
    </w:p>
    <w:p w14:paraId="29F1FDB6" w14:textId="77777777" w:rsidR="00051D24" w:rsidRDefault="00F4600C" w:rsidP="00051D24">
      <w:pPr>
        <w:pStyle w:val="List"/>
        <w:spacing w:before="360"/>
        <w:rPr>
          <w:rStyle w:val="Heading2Char"/>
          <w:b w:val="0"/>
          <w:sz w:val="22"/>
          <w:szCs w:val="22"/>
        </w:rPr>
      </w:pPr>
      <w:r>
        <w:rPr>
          <w:rStyle w:val="Heading2Char"/>
          <w:b w:val="0"/>
          <w:sz w:val="22"/>
          <w:szCs w:val="22"/>
        </w:rPr>
        <w:t>specialists and</w:t>
      </w:r>
      <w:r w:rsidR="00051D24">
        <w:rPr>
          <w:rStyle w:val="Heading2Char"/>
          <w:b w:val="0"/>
          <w:sz w:val="22"/>
          <w:szCs w:val="22"/>
        </w:rPr>
        <w:t xml:space="preserve"> </w:t>
      </w:r>
      <w:r>
        <w:rPr>
          <w:rStyle w:val="Heading2Char"/>
          <w:b w:val="0"/>
          <w:sz w:val="22"/>
          <w:szCs w:val="22"/>
        </w:rPr>
        <w:t>after school teachers.  We lost 10 students during</w:t>
      </w:r>
      <w:r w:rsidR="00051D24">
        <w:rPr>
          <w:rStyle w:val="Heading2Char"/>
          <w:b w:val="0"/>
          <w:sz w:val="22"/>
          <w:szCs w:val="22"/>
        </w:rPr>
        <w:t xml:space="preserve"> the school year, many of the</w:t>
      </w:r>
    </w:p>
    <w:p w14:paraId="439EEF7B" w14:textId="77777777" w:rsidR="00F4600C" w:rsidRDefault="00F4600C" w:rsidP="00051D24">
      <w:pPr>
        <w:pStyle w:val="List"/>
        <w:spacing w:before="360"/>
        <w:rPr>
          <w:rStyle w:val="Heading2Char"/>
          <w:b w:val="0"/>
          <w:sz w:val="22"/>
          <w:szCs w:val="22"/>
        </w:rPr>
      </w:pPr>
      <w:r>
        <w:rPr>
          <w:rStyle w:val="Heading2Char"/>
          <w:b w:val="0"/>
          <w:sz w:val="22"/>
          <w:szCs w:val="22"/>
        </w:rPr>
        <w:t>students left after we</w:t>
      </w:r>
      <w:r w:rsidR="00051D24">
        <w:rPr>
          <w:rStyle w:val="Heading2Char"/>
          <w:b w:val="0"/>
          <w:sz w:val="22"/>
          <w:szCs w:val="22"/>
        </w:rPr>
        <w:t xml:space="preserve"> </w:t>
      </w:r>
      <w:r>
        <w:rPr>
          <w:rStyle w:val="Heading2Char"/>
          <w:b w:val="0"/>
          <w:sz w:val="22"/>
          <w:szCs w:val="22"/>
        </w:rPr>
        <w:t xml:space="preserve">switched the busing </w:t>
      </w:r>
      <w:r w:rsidR="00051D24">
        <w:rPr>
          <w:rStyle w:val="Heading2Char"/>
          <w:b w:val="0"/>
          <w:sz w:val="22"/>
          <w:szCs w:val="22"/>
        </w:rPr>
        <w:t xml:space="preserve">schedule. </w:t>
      </w:r>
    </w:p>
    <w:p w14:paraId="43561CA6" w14:textId="77777777" w:rsidR="00051D24" w:rsidRDefault="00051D24" w:rsidP="00C30032">
      <w:pPr>
        <w:pStyle w:val="List"/>
        <w:spacing w:before="360"/>
        <w:rPr>
          <w:rStyle w:val="Heading2Char"/>
          <w:b w:val="0"/>
          <w:sz w:val="22"/>
          <w:szCs w:val="22"/>
        </w:rPr>
      </w:pPr>
    </w:p>
    <w:p w14:paraId="5995D369" w14:textId="77777777" w:rsidR="00051D24" w:rsidRDefault="00051D24" w:rsidP="00C30032">
      <w:pPr>
        <w:pStyle w:val="List"/>
        <w:spacing w:before="360"/>
        <w:rPr>
          <w:rStyle w:val="Heading2Char"/>
          <w:sz w:val="28"/>
          <w:szCs w:val="28"/>
        </w:rPr>
      </w:pPr>
      <w:r w:rsidRPr="00051D24">
        <w:rPr>
          <w:rStyle w:val="Heading2Char"/>
          <w:sz w:val="28"/>
          <w:szCs w:val="28"/>
        </w:rPr>
        <w:t>Board Composition</w:t>
      </w:r>
    </w:p>
    <w:tbl>
      <w:tblPr>
        <w:tblStyle w:val="TableGrid"/>
        <w:tblW w:w="0" w:type="auto"/>
        <w:tblLook w:val="04A0" w:firstRow="1" w:lastRow="0" w:firstColumn="1" w:lastColumn="0" w:noHBand="0" w:noVBand="1"/>
      </w:tblPr>
      <w:tblGrid>
        <w:gridCol w:w="2394"/>
        <w:gridCol w:w="2394"/>
        <w:gridCol w:w="2394"/>
        <w:gridCol w:w="2394"/>
      </w:tblGrid>
      <w:tr w:rsidR="00051D24" w14:paraId="006DDAA7" w14:textId="77777777" w:rsidTr="00004339">
        <w:tc>
          <w:tcPr>
            <w:tcW w:w="2394" w:type="dxa"/>
            <w:shd w:val="clear" w:color="auto" w:fill="D9D9D9" w:themeFill="background1" w:themeFillShade="D9"/>
          </w:tcPr>
          <w:p w14:paraId="63DC4B71" w14:textId="77777777" w:rsidR="00051D24" w:rsidRPr="003F4A96" w:rsidRDefault="00051D24" w:rsidP="00004339">
            <w:pPr>
              <w:jc w:val="center"/>
              <w:rPr>
                <w:b/>
              </w:rPr>
            </w:pPr>
            <w:r w:rsidRPr="003F4A96">
              <w:rPr>
                <w:b/>
              </w:rPr>
              <w:t>Name</w:t>
            </w:r>
            <w:r>
              <w:rPr>
                <w:b/>
              </w:rPr>
              <w:t>/Affiliation</w:t>
            </w:r>
          </w:p>
        </w:tc>
        <w:tc>
          <w:tcPr>
            <w:tcW w:w="2394" w:type="dxa"/>
            <w:shd w:val="clear" w:color="auto" w:fill="D9D9D9" w:themeFill="background1" w:themeFillShade="D9"/>
          </w:tcPr>
          <w:p w14:paraId="15472843" w14:textId="77777777" w:rsidR="00051D24" w:rsidRPr="003F4A96" w:rsidRDefault="00051D24" w:rsidP="00004339">
            <w:pPr>
              <w:jc w:val="center"/>
              <w:rPr>
                <w:b/>
              </w:rPr>
            </w:pPr>
            <w:r w:rsidRPr="003F4A96">
              <w:rPr>
                <w:b/>
              </w:rPr>
              <w:t>Start Date</w:t>
            </w:r>
          </w:p>
        </w:tc>
        <w:tc>
          <w:tcPr>
            <w:tcW w:w="2394" w:type="dxa"/>
            <w:shd w:val="clear" w:color="auto" w:fill="D9D9D9" w:themeFill="background1" w:themeFillShade="D9"/>
          </w:tcPr>
          <w:p w14:paraId="65E04FA1" w14:textId="77777777" w:rsidR="00051D24" w:rsidRPr="003F4A96" w:rsidRDefault="00051D24" w:rsidP="00004339">
            <w:pPr>
              <w:jc w:val="center"/>
              <w:rPr>
                <w:b/>
              </w:rPr>
            </w:pPr>
            <w:r w:rsidRPr="003F4A96">
              <w:rPr>
                <w:b/>
              </w:rPr>
              <w:t>End Date</w:t>
            </w:r>
          </w:p>
        </w:tc>
        <w:tc>
          <w:tcPr>
            <w:tcW w:w="2394" w:type="dxa"/>
            <w:shd w:val="clear" w:color="auto" w:fill="D9D9D9" w:themeFill="background1" w:themeFillShade="D9"/>
          </w:tcPr>
          <w:p w14:paraId="695BC3A7" w14:textId="77777777" w:rsidR="00051D24" w:rsidRPr="003F4A96" w:rsidRDefault="00051D24" w:rsidP="00004339">
            <w:pPr>
              <w:jc w:val="center"/>
              <w:rPr>
                <w:b/>
              </w:rPr>
            </w:pPr>
            <w:r w:rsidRPr="003F4A96">
              <w:rPr>
                <w:b/>
              </w:rPr>
              <w:t>Relationship</w:t>
            </w:r>
          </w:p>
        </w:tc>
      </w:tr>
      <w:tr w:rsidR="00051D24" w14:paraId="05DD7E18" w14:textId="77777777" w:rsidTr="00004339">
        <w:tc>
          <w:tcPr>
            <w:tcW w:w="2394" w:type="dxa"/>
          </w:tcPr>
          <w:p w14:paraId="1169EB3F" w14:textId="77777777" w:rsidR="00051D24" w:rsidRDefault="00051D24" w:rsidP="00004339">
            <w:r>
              <w:t>Grace Lee</w:t>
            </w:r>
          </w:p>
          <w:p w14:paraId="27729AAB" w14:textId="77777777" w:rsidR="00051D24" w:rsidRDefault="00051D24" w:rsidP="00004339">
            <w:r>
              <w:t>United Health Care</w:t>
            </w:r>
          </w:p>
        </w:tc>
        <w:tc>
          <w:tcPr>
            <w:tcW w:w="2394" w:type="dxa"/>
          </w:tcPr>
          <w:p w14:paraId="72A45BBC" w14:textId="77777777" w:rsidR="00051D24" w:rsidRDefault="00051D24" w:rsidP="00004339">
            <w:r>
              <w:t>Sejong Academy was incorporated with the MN Secretary of State on Jan. 7, 2013.  Member was serving organization at that time.</w:t>
            </w:r>
          </w:p>
        </w:tc>
        <w:tc>
          <w:tcPr>
            <w:tcW w:w="2394" w:type="dxa"/>
          </w:tcPr>
          <w:p w14:paraId="26603A0A" w14:textId="77777777" w:rsidR="00051D24" w:rsidRDefault="00051D24" w:rsidP="00004339">
            <w:r>
              <w:t>May, 2016</w:t>
            </w:r>
          </w:p>
        </w:tc>
        <w:tc>
          <w:tcPr>
            <w:tcW w:w="2394" w:type="dxa"/>
          </w:tcPr>
          <w:p w14:paraId="549F61BB" w14:textId="77777777" w:rsidR="00051D24" w:rsidRDefault="00051D24" w:rsidP="00004339">
            <w:r>
              <w:t>Board Chair,</w:t>
            </w:r>
          </w:p>
          <w:p w14:paraId="01752372" w14:textId="77777777" w:rsidR="00051D24" w:rsidRDefault="00051D24" w:rsidP="00004339">
            <w:r>
              <w:t>Parent</w:t>
            </w:r>
          </w:p>
        </w:tc>
      </w:tr>
      <w:tr w:rsidR="00051D24" w14:paraId="3EDFE0BF" w14:textId="77777777" w:rsidTr="00004339">
        <w:tc>
          <w:tcPr>
            <w:tcW w:w="2394" w:type="dxa"/>
          </w:tcPr>
          <w:p w14:paraId="1D3B229B" w14:textId="77777777" w:rsidR="00051D24" w:rsidRDefault="00051D24" w:rsidP="00004339">
            <w:r>
              <w:t>Julie Chi</w:t>
            </w:r>
          </w:p>
          <w:p w14:paraId="00AB6904" w14:textId="77777777" w:rsidR="00051D24" w:rsidRDefault="00051D24" w:rsidP="00004339">
            <w:r>
              <w:t>Minnesota Department of Education</w:t>
            </w:r>
          </w:p>
        </w:tc>
        <w:tc>
          <w:tcPr>
            <w:tcW w:w="2394" w:type="dxa"/>
          </w:tcPr>
          <w:p w14:paraId="4AE86454" w14:textId="77777777" w:rsidR="00051D24" w:rsidRDefault="00051D24" w:rsidP="00004339">
            <w:r>
              <w:t>See above.</w:t>
            </w:r>
          </w:p>
        </w:tc>
        <w:tc>
          <w:tcPr>
            <w:tcW w:w="2394" w:type="dxa"/>
          </w:tcPr>
          <w:p w14:paraId="505DD09B" w14:textId="77777777" w:rsidR="00051D24" w:rsidRDefault="00051D24" w:rsidP="00004339">
            <w:r>
              <w:t>May, 2016</w:t>
            </w:r>
          </w:p>
        </w:tc>
        <w:tc>
          <w:tcPr>
            <w:tcW w:w="2394" w:type="dxa"/>
          </w:tcPr>
          <w:p w14:paraId="3A18AF16" w14:textId="77777777" w:rsidR="00051D24" w:rsidRDefault="00051D24" w:rsidP="00004339">
            <w:r>
              <w:t>Parent</w:t>
            </w:r>
          </w:p>
          <w:p w14:paraId="6001C498" w14:textId="77777777" w:rsidR="00051D24" w:rsidRDefault="00051D24" w:rsidP="00004339"/>
        </w:tc>
      </w:tr>
      <w:tr w:rsidR="00051D24" w14:paraId="4119A8A4" w14:textId="77777777" w:rsidTr="00004339">
        <w:tc>
          <w:tcPr>
            <w:tcW w:w="2394" w:type="dxa"/>
          </w:tcPr>
          <w:p w14:paraId="2DBDDDF3" w14:textId="77777777" w:rsidR="00051D24" w:rsidRDefault="00051D24" w:rsidP="00004339">
            <w:r>
              <w:t>Daniel Larsen</w:t>
            </w:r>
          </w:p>
          <w:p w14:paraId="67F86F98" w14:textId="77777777" w:rsidR="00051D24" w:rsidRDefault="00051D24" w:rsidP="00004339">
            <w:r>
              <w:t>North St. Paul School District</w:t>
            </w:r>
          </w:p>
          <w:p w14:paraId="40DDFC86" w14:textId="77777777" w:rsidR="00051D24" w:rsidRDefault="00051D24" w:rsidP="00004339"/>
        </w:tc>
        <w:tc>
          <w:tcPr>
            <w:tcW w:w="2394" w:type="dxa"/>
          </w:tcPr>
          <w:p w14:paraId="1F2D8682" w14:textId="77777777" w:rsidR="00051D24" w:rsidRDefault="00051D24" w:rsidP="00004339">
            <w:r>
              <w:t>July 22, 2015</w:t>
            </w:r>
          </w:p>
        </w:tc>
        <w:tc>
          <w:tcPr>
            <w:tcW w:w="2394" w:type="dxa"/>
          </w:tcPr>
          <w:p w14:paraId="308DFD4C" w14:textId="77777777" w:rsidR="00051D24" w:rsidRDefault="00051D24" w:rsidP="00004339"/>
        </w:tc>
        <w:tc>
          <w:tcPr>
            <w:tcW w:w="2394" w:type="dxa"/>
          </w:tcPr>
          <w:p w14:paraId="523B1ECE" w14:textId="77777777" w:rsidR="00051D24" w:rsidRDefault="00051D24" w:rsidP="00004339">
            <w:r>
              <w:t>Non-parent, Community Member</w:t>
            </w:r>
          </w:p>
        </w:tc>
      </w:tr>
      <w:tr w:rsidR="00051D24" w14:paraId="042F5594" w14:textId="77777777" w:rsidTr="00004339">
        <w:tc>
          <w:tcPr>
            <w:tcW w:w="2394" w:type="dxa"/>
          </w:tcPr>
          <w:p w14:paraId="10677353" w14:textId="77777777" w:rsidR="00051D24" w:rsidRDefault="00051D24" w:rsidP="00004339">
            <w:r>
              <w:lastRenderedPageBreak/>
              <w:t>Jisu Ryu</w:t>
            </w:r>
          </w:p>
          <w:p w14:paraId="6BBFDF29" w14:textId="77777777" w:rsidR="00051D24" w:rsidRDefault="00051D24" w:rsidP="00004339">
            <w:r>
              <w:t>University of Minnesota, Phd. Candidate</w:t>
            </w:r>
          </w:p>
        </w:tc>
        <w:tc>
          <w:tcPr>
            <w:tcW w:w="2394" w:type="dxa"/>
          </w:tcPr>
          <w:p w14:paraId="3AE127F3" w14:textId="77777777" w:rsidR="00051D24" w:rsidRDefault="00051D24" w:rsidP="00004339">
            <w:r>
              <w:t>May 1, 2014</w:t>
            </w:r>
          </w:p>
        </w:tc>
        <w:tc>
          <w:tcPr>
            <w:tcW w:w="2394" w:type="dxa"/>
          </w:tcPr>
          <w:p w14:paraId="6AC65916" w14:textId="77777777" w:rsidR="00051D24" w:rsidRDefault="00051D24" w:rsidP="00004339"/>
        </w:tc>
        <w:tc>
          <w:tcPr>
            <w:tcW w:w="2394" w:type="dxa"/>
          </w:tcPr>
          <w:p w14:paraId="56548997" w14:textId="77777777" w:rsidR="00051D24" w:rsidRDefault="00051D24" w:rsidP="00004339">
            <w:r>
              <w:t>Non-parent Community Member</w:t>
            </w:r>
          </w:p>
        </w:tc>
      </w:tr>
      <w:tr w:rsidR="00051D24" w14:paraId="4B58ED9A" w14:textId="77777777" w:rsidTr="00004339">
        <w:tc>
          <w:tcPr>
            <w:tcW w:w="2394" w:type="dxa"/>
          </w:tcPr>
          <w:p w14:paraId="26F2BB93" w14:textId="77777777" w:rsidR="00051D24" w:rsidRDefault="00051D24" w:rsidP="00004339">
            <w:r>
              <w:t>Moo Lor La,</w:t>
            </w:r>
          </w:p>
          <w:p w14:paraId="4912C1B4" w14:textId="77777777" w:rsidR="00051D24" w:rsidRDefault="00051D24" w:rsidP="00004339">
            <w:r>
              <w:t>Job Corps Student</w:t>
            </w:r>
          </w:p>
        </w:tc>
        <w:tc>
          <w:tcPr>
            <w:tcW w:w="2394" w:type="dxa"/>
          </w:tcPr>
          <w:p w14:paraId="6F9E0548" w14:textId="77777777" w:rsidR="00051D24" w:rsidRDefault="00051D24" w:rsidP="00004339">
            <w:r>
              <w:t>December 18, 2014</w:t>
            </w:r>
          </w:p>
        </w:tc>
        <w:tc>
          <w:tcPr>
            <w:tcW w:w="2394" w:type="dxa"/>
          </w:tcPr>
          <w:p w14:paraId="1C3D94C4" w14:textId="77777777" w:rsidR="00051D24" w:rsidRDefault="00051D24" w:rsidP="00004339"/>
        </w:tc>
        <w:tc>
          <w:tcPr>
            <w:tcW w:w="2394" w:type="dxa"/>
          </w:tcPr>
          <w:p w14:paraId="0180F58E" w14:textId="77777777" w:rsidR="00051D24" w:rsidRDefault="00051D24" w:rsidP="00004339">
            <w:r>
              <w:t>Non-parent Community Member</w:t>
            </w:r>
          </w:p>
        </w:tc>
      </w:tr>
    </w:tbl>
    <w:p w14:paraId="2D9FFC72" w14:textId="77777777" w:rsidR="00051D24" w:rsidRPr="00051D24" w:rsidRDefault="00051D24" w:rsidP="00C30032">
      <w:pPr>
        <w:pStyle w:val="List"/>
        <w:spacing w:before="360"/>
        <w:rPr>
          <w:rStyle w:val="Heading2Char"/>
          <w:sz w:val="22"/>
          <w:szCs w:val="22"/>
        </w:rPr>
      </w:pPr>
    </w:p>
    <w:p w14:paraId="6DA47C00" w14:textId="77777777" w:rsidR="00F4600C" w:rsidRDefault="00051D24" w:rsidP="00C30032">
      <w:pPr>
        <w:pStyle w:val="List"/>
        <w:spacing w:before="360"/>
        <w:rPr>
          <w:rStyle w:val="Heading2Char"/>
        </w:rPr>
      </w:pPr>
      <w:r>
        <w:rPr>
          <w:rStyle w:val="Heading2Char"/>
        </w:rPr>
        <w:t>Finances</w:t>
      </w:r>
    </w:p>
    <w:p w14:paraId="5A35FCFE" w14:textId="77777777" w:rsidR="00051D24" w:rsidRDefault="00051D24" w:rsidP="00C30032">
      <w:pPr>
        <w:pStyle w:val="List"/>
        <w:spacing w:before="360"/>
        <w:rPr>
          <w:rStyle w:val="Heading2Char"/>
        </w:rPr>
      </w:pPr>
      <w:r w:rsidRPr="00051D24">
        <w:rPr>
          <w:rStyle w:val="Heading2Char"/>
          <w:noProof/>
          <w:lang w:eastAsia="ko-KR"/>
        </w:rPr>
        <w:drawing>
          <wp:inline distT="0" distB="0" distL="0" distR="0" wp14:anchorId="3D772690" wp14:editId="1F0F4572">
            <wp:extent cx="6400800" cy="409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4095750"/>
                    </a:xfrm>
                    <a:prstGeom prst="rect">
                      <a:avLst/>
                    </a:prstGeom>
                  </pic:spPr>
                </pic:pic>
              </a:graphicData>
            </a:graphic>
          </wp:inline>
        </w:drawing>
      </w:r>
    </w:p>
    <w:p w14:paraId="643772D0" w14:textId="77777777" w:rsidR="00051D24" w:rsidRDefault="00D6741A" w:rsidP="00C30032">
      <w:pPr>
        <w:pStyle w:val="List"/>
        <w:spacing w:before="360"/>
        <w:rPr>
          <w:rStyle w:val="Heading2Char"/>
        </w:rPr>
      </w:pPr>
      <w:r w:rsidRPr="00D6741A">
        <w:rPr>
          <w:rStyle w:val="Heading2Char"/>
          <w:noProof/>
          <w:lang w:eastAsia="ko-KR"/>
        </w:rPr>
        <w:drawing>
          <wp:inline distT="0" distB="0" distL="0" distR="0" wp14:anchorId="27E7E5CE" wp14:editId="0667DCF1">
            <wp:extent cx="6400800" cy="1106170"/>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1106170"/>
                    </a:xfrm>
                    <a:prstGeom prst="rect">
                      <a:avLst/>
                    </a:prstGeom>
                  </pic:spPr>
                </pic:pic>
              </a:graphicData>
            </a:graphic>
          </wp:inline>
        </w:drawing>
      </w:r>
    </w:p>
    <w:p w14:paraId="3E3C8DE6" w14:textId="77777777" w:rsidR="00051D24" w:rsidRDefault="00051D24" w:rsidP="00C30032">
      <w:pPr>
        <w:pStyle w:val="List"/>
        <w:spacing w:before="360"/>
        <w:rPr>
          <w:rStyle w:val="Heading2Char"/>
        </w:rPr>
      </w:pPr>
    </w:p>
    <w:p w14:paraId="341C7F75" w14:textId="77777777" w:rsidR="00E26A17" w:rsidRDefault="00E26A17" w:rsidP="00C30032">
      <w:pPr>
        <w:pStyle w:val="List"/>
        <w:spacing w:before="360"/>
        <w:rPr>
          <w:rStyle w:val="Heading2Char"/>
        </w:rPr>
      </w:pPr>
      <w:r>
        <w:rPr>
          <w:rStyle w:val="Heading2Char"/>
        </w:rPr>
        <w:t>Stakeholder Engagement</w:t>
      </w:r>
    </w:p>
    <w:p w14:paraId="4452693F" w14:textId="77777777" w:rsidR="00293373" w:rsidRPr="00665BFA" w:rsidRDefault="00293373" w:rsidP="00293373">
      <w:pPr>
        <w:pStyle w:val="NoSpacing"/>
        <w:rPr>
          <w:b/>
        </w:rPr>
      </w:pPr>
      <w:r>
        <w:rPr>
          <w:b/>
        </w:rPr>
        <w:t>Report</w:t>
      </w:r>
    </w:p>
    <w:p w14:paraId="289C6324" w14:textId="77777777" w:rsidR="00293373" w:rsidRDefault="00293373" w:rsidP="00293373">
      <w:pPr>
        <w:pStyle w:val="List"/>
        <w:ind w:left="0" w:firstLine="0"/>
        <w:rPr>
          <w:sz w:val="20"/>
          <w:szCs w:val="20"/>
        </w:rPr>
      </w:pPr>
      <w:r w:rsidRPr="007E506F">
        <w:rPr>
          <w:sz w:val="20"/>
          <w:szCs w:val="20"/>
        </w:rPr>
        <w:t>[Note</w:t>
      </w:r>
      <w:r w:rsidR="00CE0D62">
        <w:rPr>
          <w:sz w:val="20"/>
          <w:szCs w:val="20"/>
        </w:rPr>
        <w:t>: For each school year, t</w:t>
      </w:r>
      <w:r>
        <w:rPr>
          <w:sz w:val="20"/>
          <w:szCs w:val="20"/>
        </w:rPr>
        <w:t>he school board must publish a report in the local newspaper, by mail or by electronic means on the district website.</w:t>
      </w:r>
      <w:r w:rsidRPr="007E506F">
        <w:rPr>
          <w:sz w:val="20"/>
          <w:szCs w:val="20"/>
        </w:rPr>
        <w:t>]</w:t>
      </w:r>
    </w:p>
    <w:p w14:paraId="129419F9" w14:textId="77777777" w:rsidR="00293373" w:rsidRPr="00293373" w:rsidRDefault="005F3E07" w:rsidP="00662733">
      <w:pPr>
        <w:ind w:left="720" w:hanging="360"/>
      </w:pPr>
      <w:hyperlink r:id="rId12" w:history="1">
        <w:r w:rsidR="00662733" w:rsidRPr="00173572">
          <w:rPr>
            <w:rStyle w:val="Hyperlink"/>
          </w:rPr>
          <w:t>http://www.sejongacademy.org/home-1-2-1-1-1/</w:t>
        </w:r>
      </w:hyperlink>
      <w:r w:rsidR="00662733">
        <w:t xml:space="preserve"> </w:t>
      </w:r>
    </w:p>
    <w:p w14:paraId="56B51A48" w14:textId="77777777" w:rsidR="008E7D7B" w:rsidRPr="00E26A17" w:rsidRDefault="008E7D7B" w:rsidP="008E7D7B">
      <w:pPr>
        <w:pStyle w:val="List"/>
        <w:rPr>
          <w:rStyle w:val="Heading2Char"/>
          <w:sz w:val="22"/>
          <w:szCs w:val="22"/>
        </w:rPr>
      </w:pPr>
      <w:r w:rsidRPr="00E26A17">
        <w:rPr>
          <w:rStyle w:val="Heading2Char"/>
          <w:sz w:val="22"/>
          <w:szCs w:val="22"/>
        </w:rPr>
        <w:t>Annual Public Meeting</w:t>
      </w:r>
    </w:p>
    <w:p w14:paraId="7CBE182A" w14:textId="77777777" w:rsidR="008E7D7B" w:rsidRPr="00F10186" w:rsidRDefault="008E7D7B" w:rsidP="008E7D7B">
      <w:pPr>
        <w:pStyle w:val="List"/>
        <w:ind w:left="0" w:firstLine="0"/>
      </w:pPr>
      <w:r w:rsidRPr="007E506F">
        <w:rPr>
          <w:sz w:val="20"/>
          <w:szCs w:val="20"/>
        </w:rPr>
        <w:t>[Note</w:t>
      </w:r>
      <w:r>
        <w:rPr>
          <w:sz w:val="20"/>
          <w:szCs w:val="20"/>
        </w:rPr>
        <w:t xml:space="preserve">: School boards are to hold an annual public meeting to </w:t>
      </w:r>
      <w:r w:rsidR="004F124B">
        <w:rPr>
          <w:sz w:val="20"/>
          <w:szCs w:val="20"/>
        </w:rPr>
        <w:t xml:space="preserve">communicate plans for the upcoming school year based on a </w:t>
      </w:r>
      <w:r>
        <w:rPr>
          <w:sz w:val="20"/>
          <w:szCs w:val="20"/>
        </w:rPr>
        <w:t xml:space="preserve">review </w:t>
      </w:r>
      <w:r w:rsidR="004F124B">
        <w:rPr>
          <w:sz w:val="20"/>
          <w:szCs w:val="20"/>
        </w:rPr>
        <w:t xml:space="preserve">of </w:t>
      </w:r>
      <w:r>
        <w:rPr>
          <w:sz w:val="20"/>
          <w:szCs w:val="20"/>
        </w:rPr>
        <w:t>goals, outcomes and strategies</w:t>
      </w:r>
      <w:r w:rsidR="004F124B">
        <w:rPr>
          <w:sz w:val="20"/>
          <w:szCs w:val="20"/>
        </w:rPr>
        <w:t xml:space="preserve"> from the previous year</w:t>
      </w:r>
      <w:r>
        <w:rPr>
          <w:sz w:val="20"/>
          <w:szCs w:val="20"/>
        </w:rPr>
        <w:t xml:space="preserve">. </w:t>
      </w:r>
      <w:r w:rsidR="004F124B">
        <w:rPr>
          <w:sz w:val="20"/>
          <w:szCs w:val="20"/>
        </w:rPr>
        <w:t>Stakeholders should be meani</w:t>
      </w:r>
      <w:r w:rsidR="008357D6">
        <w:rPr>
          <w:sz w:val="20"/>
          <w:szCs w:val="20"/>
        </w:rPr>
        <w:t xml:space="preserve">ngfully involved, and this meeting is to occur </w:t>
      </w:r>
      <w:r w:rsidR="00600189">
        <w:rPr>
          <w:sz w:val="20"/>
          <w:szCs w:val="20"/>
        </w:rPr>
        <w:t>separately from a</w:t>
      </w:r>
      <w:r w:rsidR="008357D6">
        <w:rPr>
          <w:sz w:val="20"/>
          <w:szCs w:val="20"/>
        </w:rPr>
        <w:t xml:space="preserve"> regular</w:t>
      </w:r>
      <w:r w:rsidR="00600189">
        <w:rPr>
          <w:sz w:val="20"/>
          <w:szCs w:val="20"/>
        </w:rPr>
        <w:t>ly scheduled</w:t>
      </w:r>
      <w:r w:rsidR="008357D6">
        <w:rPr>
          <w:sz w:val="20"/>
          <w:szCs w:val="20"/>
        </w:rPr>
        <w:t xml:space="preserve"> school board meeting. The author’s intent was to have a separate meeting just for this reason.</w:t>
      </w:r>
      <w:r w:rsidR="004F124B" w:rsidRPr="007E506F">
        <w:rPr>
          <w:sz w:val="20"/>
          <w:szCs w:val="20"/>
        </w:rPr>
        <w:t>]</w:t>
      </w:r>
    </w:p>
    <w:p w14:paraId="23B2058F" w14:textId="77777777" w:rsidR="00804232" w:rsidRPr="00804232" w:rsidRDefault="00A76BDF" w:rsidP="00A76BDF">
      <w:r>
        <w:tab/>
        <w:t>Date of Annual Meeting to discuss the World’s Best Workforce Summary, May 18, 2016.</w:t>
      </w:r>
    </w:p>
    <w:p w14:paraId="7F8C13FD" w14:textId="77777777" w:rsidR="008E7D7B" w:rsidRPr="00665BFA" w:rsidRDefault="008E7D7B" w:rsidP="00BC473E">
      <w:pPr>
        <w:pStyle w:val="NoSpacing"/>
        <w:rPr>
          <w:b/>
        </w:rPr>
      </w:pPr>
      <w:r w:rsidRPr="00665BFA">
        <w:rPr>
          <w:b/>
        </w:rPr>
        <w:t>District Advisory Committee</w:t>
      </w:r>
    </w:p>
    <w:p w14:paraId="3BE7D755" w14:textId="77777777" w:rsidR="003A1A2B" w:rsidRDefault="0081034D" w:rsidP="00662733">
      <w:pPr>
        <w:pStyle w:val="List"/>
        <w:ind w:left="0" w:firstLine="0"/>
        <w:rPr>
          <w:sz w:val="20"/>
          <w:szCs w:val="20"/>
        </w:rPr>
      </w:pPr>
      <w:r w:rsidRPr="007E506F">
        <w:rPr>
          <w:sz w:val="20"/>
          <w:szCs w:val="20"/>
        </w:rPr>
        <w:t>[Note</w:t>
      </w:r>
      <w:r>
        <w:rPr>
          <w:sz w:val="20"/>
          <w:szCs w:val="20"/>
        </w:rPr>
        <w:t>: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w:t>
      </w:r>
      <w:r w:rsidR="00662733">
        <w:rPr>
          <w:sz w:val="20"/>
          <w:szCs w:val="20"/>
        </w:rPr>
        <w:t>mmendations to the school board:</w:t>
      </w:r>
    </w:p>
    <w:p w14:paraId="483CAC9F" w14:textId="77777777" w:rsidR="00662733" w:rsidRDefault="00662733" w:rsidP="00662733">
      <w:pPr>
        <w:pStyle w:val="List"/>
        <w:ind w:left="0" w:firstLine="0"/>
      </w:pPr>
    </w:p>
    <w:p w14:paraId="5AB73A4F" w14:textId="77777777" w:rsidR="00FD252C" w:rsidRDefault="00FD252C" w:rsidP="00FD252C">
      <w:pPr>
        <w:pStyle w:val="List"/>
      </w:pPr>
      <w:r>
        <w:t>Grace Lee, Board Chair, Parent</w:t>
      </w:r>
    </w:p>
    <w:p w14:paraId="4244CDC7" w14:textId="77777777" w:rsidR="00FD252C" w:rsidRDefault="00FD252C" w:rsidP="00FD252C">
      <w:pPr>
        <w:pStyle w:val="List"/>
      </w:pPr>
      <w:r>
        <w:t>Brad Tipka, Executive Director, Parent</w:t>
      </w:r>
    </w:p>
    <w:p w14:paraId="64972667" w14:textId="77777777" w:rsidR="00FD252C" w:rsidRDefault="00FD252C" w:rsidP="00FD252C">
      <w:pPr>
        <w:pStyle w:val="List"/>
      </w:pPr>
      <w:r>
        <w:t>Sawlwin Si, Community Liasion, Parent</w:t>
      </w:r>
    </w:p>
    <w:p w14:paraId="15A938D4" w14:textId="77777777" w:rsidR="00FD252C" w:rsidRDefault="00FD252C" w:rsidP="00FD252C">
      <w:pPr>
        <w:pStyle w:val="List"/>
      </w:pPr>
    </w:p>
    <w:p w14:paraId="17F5D6B7" w14:textId="77777777" w:rsidR="00FD252C" w:rsidRPr="00FD252C" w:rsidRDefault="00FD252C" w:rsidP="00FD252C">
      <w:pPr>
        <w:pStyle w:val="List"/>
      </w:pPr>
      <w:r>
        <w:t xml:space="preserve">Meetings were held on a as needed with all recommendations made </w:t>
      </w:r>
      <w:r w:rsidR="00A76BDF">
        <w:t xml:space="preserve">to the school board at the next </w:t>
      </w:r>
      <w:r>
        <w:t>meeting.</w:t>
      </w:r>
      <w:r w:rsidR="008C1617">
        <w:t xml:space="preserve">  This committee needs to recruit new more members this current year.</w:t>
      </w:r>
    </w:p>
    <w:p w14:paraId="4D3AD8B6" w14:textId="77777777" w:rsidR="00F10186" w:rsidRDefault="00F10186" w:rsidP="00F10186">
      <w:pPr>
        <w:pStyle w:val="Heading2"/>
        <w:spacing w:before="360" w:after="0"/>
      </w:pPr>
      <w:r>
        <w:t>Goals and Results</w:t>
      </w:r>
    </w:p>
    <w:p w14:paraId="65989ABA" w14:textId="77777777" w:rsidR="00F10186" w:rsidRDefault="00F10186" w:rsidP="00F10186">
      <w:pPr>
        <w:pStyle w:val="NoSpacing"/>
        <w:spacing w:after="360"/>
        <w:rPr>
          <w:sz w:val="20"/>
          <w:szCs w:val="20"/>
        </w:rPr>
      </w:pPr>
      <w:r w:rsidRPr="007E506F">
        <w:rPr>
          <w:sz w:val="20"/>
          <w:szCs w:val="20"/>
        </w:rPr>
        <w:t>[Note: Goals should be linked to needs and written in SMART-goal format.</w:t>
      </w:r>
      <w:r w:rsidR="007F697A">
        <w:rPr>
          <w:sz w:val="20"/>
          <w:szCs w:val="20"/>
        </w:rPr>
        <w:t xml:space="preserve"> </w:t>
      </w:r>
      <w:r w:rsidR="00E961A4">
        <w:rPr>
          <w:sz w:val="20"/>
          <w:szCs w:val="20"/>
        </w:rPr>
        <w:t xml:space="preserve">SMART goals are: specific and strategic, measurable, attainable (yet rigorous), results-based and time-based. </w:t>
      </w:r>
      <w:r w:rsidR="005040A7">
        <w:rPr>
          <w:sz w:val="20"/>
          <w:szCs w:val="20"/>
        </w:rPr>
        <w:t xml:space="preserve">Results should tie directly back to the established goal so it is clear whether the goal was met. </w:t>
      </w:r>
      <w:r>
        <w:rPr>
          <w:sz w:val="20"/>
          <w:szCs w:val="20"/>
        </w:rPr>
        <w:t>Districts may choose to use the data profiles provided by MDE</w:t>
      </w:r>
      <w:r w:rsidR="00781F45">
        <w:rPr>
          <w:sz w:val="20"/>
          <w:szCs w:val="20"/>
        </w:rPr>
        <w:t xml:space="preserve"> in reporting goals and re</w:t>
      </w:r>
      <w:r w:rsidR="007F697A">
        <w:rPr>
          <w:sz w:val="20"/>
          <w:szCs w:val="20"/>
        </w:rPr>
        <w:t>sults.</w:t>
      </w:r>
      <w:r w:rsidRPr="007E506F">
        <w:rPr>
          <w:sz w:val="20"/>
          <w:szCs w:val="20"/>
        </w:rPr>
        <w:t>]</w:t>
      </w:r>
    </w:p>
    <w:tbl>
      <w:tblPr>
        <w:tblStyle w:val="TableGrid"/>
        <w:tblW w:w="0" w:type="auto"/>
        <w:tblLook w:val="04A0" w:firstRow="1" w:lastRow="0" w:firstColumn="1" w:lastColumn="0" w:noHBand="0" w:noVBand="1"/>
        <w:tblCaption w:val="Goals and Results"/>
        <w:tblDescription w:val="Goals and Results"/>
      </w:tblPr>
      <w:tblGrid>
        <w:gridCol w:w="3615"/>
        <w:gridCol w:w="3093"/>
        <w:gridCol w:w="3362"/>
      </w:tblGrid>
      <w:tr w:rsidR="00317BA9" w:rsidRPr="00317BA9" w14:paraId="5D6B115E" w14:textId="77777777" w:rsidTr="0017210C">
        <w:trPr>
          <w:trHeight w:val="440"/>
          <w:tblHeader/>
        </w:trPr>
        <w:tc>
          <w:tcPr>
            <w:tcW w:w="3708" w:type="dxa"/>
          </w:tcPr>
          <w:p w14:paraId="2A74BEE4" w14:textId="77777777" w:rsidR="00317BA9" w:rsidRPr="00317BA9" w:rsidRDefault="00C30032" w:rsidP="00317BA9">
            <w:pPr>
              <w:pStyle w:val="NoSpacing"/>
              <w:spacing w:after="360"/>
              <w:jc w:val="center"/>
              <w:rPr>
                <w:b/>
              </w:rPr>
            </w:pPr>
            <w:r w:rsidRPr="00C30032">
              <w:rPr>
                <w:b/>
                <w:color w:val="FFFFFF" w:themeColor="background1"/>
              </w:rPr>
              <w:t>SMART Goal</w:t>
            </w:r>
          </w:p>
        </w:tc>
        <w:tc>
          <w:tcPr>
            <w:tcW w:w="3156" w:type="dxa"/>
          </w:tcPr>
          <w:p w14:paraId="5BCC0B31" w14:textId="77777777" w:rsidR="00317BA9" w:rsidRPr="00317BA9" w:rsidRDefault="00317BA9" w:rsidP="00317BA9">
            <w:pPr>
              <w:pStyle w:val="NoSpacing"/>
              <w:spacing w:after="360"/>
              <w:jc w:val="center"/>
              <w:rPr>
                <w:b/>
              </w:rPr>
            </w:pPr>
            <w:r w:rsidRPr="00317BA9">
              <w:rPr>
                <w:b/>
              </w:rPr>
              <w:t>2014-2015 Goal</w:t>
            </w:r>
            <w:r w:rsidR="00600189">
              <w:rPr>
                <w:b/>
              </w:rPr>
              <w:t>s</w:t>
            </w:r>
          </w:p>
        </w:tc>
        <w:tc>
          <w:tcPr>
            <w:tcW w:w="3432" w:type="dxa"/>
          </w:tcPr>
          <w:p w14:paraId="3DD632E3" w14:textId="77777777" w:rsidR="00317BA9" w:rsidRPr="00317BA9" w:rsidRDefault="00317BA9" w:rsidP="00317BA9">
            <w:pPr>
              <w:pStyle w:val="NoSpacing"/>
              <w:spacing w:after="360"/>
              <w:jc w:val="center"/>
              <w:rPr>
                <w:b/>
              </w:rPr>
            </w:pPr>
            <w:r w:rsidRPr="00317BA9">
              <w:rPr>
                <w:b/>
              </w:rPr>
              <w:t xml:space="preserve">2014-2015 </w:t>
            </w:r>
            <w:r w:rsidR="00600189">
              <w:rPr>
                <w:b/>
              </w:rPr>
              <w:t xml:space="preserve">Goal </w:t>
            </w:r>
            <w:r w:rsidRPr="00317BA9">
              <w:rPr>
                <w:b/>
              </w:rPr>
              <w:t>Result</w:t>
            </w:r>
            <w:r w:rsidR="00600189">
              <w:rPr>
                <w:b/>
              </w:rPr>
              <w:t>s</w:t>
            </w:r>
          </w:p>
        </w:tc>
      </w:tr>
      <w:tr w:rsidR="00317BA9" w14:paraId="37F2583D" w14:textId="77777777" w:rsidTr="00317BA9">
        <w:trPr>
          <w:trHeight w:val="1133"/>
        </w:trPr>
        <w:tc>
          <w:tcPr>
            <w:tcW w:w="3708" w:type="dxa"/>
          </w:tcPr>
          <w:p w14:paraId="6F863A5B" w14:textId="77777777" w:rsidR="00317BA9" w:rsidRPr="00317BA9" w:rsidRDefault="00317BA9" w:rsidP="00317BA9">
            <w:pPr>
              <w:pStyle w:val="NoSpacing"/>
              <w:rPr>
                <w:b/>
              </w:rPr>
            </w:pPr>
            <w:r w:rsidRPr="007E506F">
              <w:rPr>
                <w:b/>
              </w:rPr>
              <w:t xml:space="preserve">All Students Ready for Kindergarten </w:t>
            </w:r>
          </w:p>
        </w:tc>
        <w:tc>
          <w:tcPr>
            <w:tcW w:w="3156" w:type="dxa"/>
          </w:tcPr>
          <w:p w14:paraId="0B79B4E4" w14:textId="77777777" w:rsidR="00D720D3" w:rsidRPr="00A76BDF" w:rsidRDefault="00D720D3" w:rsidP="00D720D3">
            <w:pPr>
              <w:rPr>
                <w:rFonts w:cs="Arial"/>
                <w:color w:val="000000" w:themeColor="text1"/>
              </w:rPr>
            </w:pPr>
            <w:r w:rsidRPr="00A76BDF">
              <w:rPr>
                <w:rFonts w:cs="Arial"/>
                <w:color w:val="000000" w:themeColor="text1"/>
              </w:rPr>
              <w:t xml:space="preserve">1)  </w:t>
            </w:r>
            <w:r w:rsidR="00C351EC" w:rsidRPr="00A76BDF">
              <w:rPr>
                <w:rFonts w:cs="Arial"/>
                <w:color w:val="000000" w:themeColor="text1"/>
              </w:rPr>
              <w:t>Sejong Academy will hold three EL parent information nights and inform parents of things to do to prepare their pre-K students.</w:t>
            </w:r>
          </w:p>
          <w:p w14:paraId="571D3DCF" w14:textId="77777777" w:rsidR="00317BA9" w:rsidRPr="00A76BDF" w:rsidRDefault="00D720D3" w:rsidP="00D720D3">
            <w:pPr>
              <w:rPr>
                <w:rFonts w:cs="Arial"/>
                <w:i/>
                <w:color w:val="000000" w:themeColor="text1"/>
              </w:rPr>
            </w:pPr>
            <w:r w:rsidRPr="00A76BDF">
              <w:rPr>
                <w:rFonts w:cs="Arial"/>
                <w:color w:val="000000" w:themeColor="text1"/>
              </w:rPr>
              <w:t>2)  Sejong will invite incoming Kindergarten students to an open house and supply them with login information to Reading Eggs and other ideas to build important Kindergarten skills.</w:t>
            </w:r>
          </w:p>
        </w:tc>
        <w:tc>
          <w:tcPr>
            <w:tcW w:w="3432" w:type="dxa"/>
          </w:tcPr>
          <w:p w14:paraId="17D903C5" w14:textId="77777777" w:rsidR="00317BA9" w:rsidRPr="00A76BDF" w:rsidRDefault="00D720D3" w:rsidP="00317BA9">
            <w:pPr>
              <w:rPr>
                <w:rFonts w:cs="Arial"/>
                <w:color w:val="000000" w:themeColor="text1"/>
              </w:rPr>
            </w:pPr>
            <w:r w:rsidRPr="00A76BDF">
              <w:rPr>
                <w:rFonts w:cs="Arial"/>
                <w:color w:val="000000" w:themeColor="text1"/>
              </w:rPr>
              <w:t>1). Held three parent meetings during the 2014-2015 school year which included all academic topics.  Averaged 15 parents in attendance and we provided transportation and interpretation services.</w:t>
            </w:r>
          </w:p>
          <w:p w14:paraId="7B7260AC" w14:textId="77777777" w:rsidR="00D720D3" w:rsidRPr="00A76BDF" w:rsidRDefault="00D720D3" w:rsidP="00317BA9">
            <w:pPr>
              <w:rPr>
                <w:rFonts w:cs="Arial"/>
                <w:color w:val="000000" w:themeColor="text1"/>
              </w:rPr>
            </w:pPr>
            <w:r w:rsidRPr="00A76BDF">
              <w:rPr>
                <w:rFonts w:cs="Arial"/>
                <w:color w:val="000000" w:themeColor="text1"/>
              </w:rPr>
              <w:t>2)  We hosted a Kindergarten Round-Up and Open House on Tuesday April 14</w:t>
            </w:r>
            <w:r w:rsidRPr="00A76BDF">
              <w:rPr>
                <w:rFonts w:cs="Arial"/>
                <w:color w:val="000000" w:themeColor="text1"/>
                <w:vertAlign w:val="superscript"/>
              </w:rPr>
              <w:t>th</w:t>
            </w:r>
            <w:r w:rsidRPr="00A76BDF">
              <w:rPr>
                <w:rFonts w:cs="Arial"/>
                <w:color w:val="000000" w:themeColor="text1"/>
              </w:rPr>
              <w:t xml:space="preserve"> where 12 students came and received Reading Eggs accounts.  </w:t>
            </w:r>
          </w:p>
          <w:p w14:paraId="6DF3AAF5" w14:textId="77777777" w:rsidR="00D720D3" w:rsidRPr="00A76BDF" w:rsidRDefault="00D720D3" w:rsidP="00317BA9">
            <w:pPr>
              <w:rPr>
                <w:rFonts w:cs="Arial"/>
                <w:color w:val="000000" w:themeColor="text1"/>
              </w:rPr>
            </w:pPr>
            <w:r w:rsidRPr="00A76BDF">
              <w:rPr>
                <w:rFonts w:cs="Arial"/>
                <w:color w:val="000000" w:themeColor="text1"/>
              </w:rPr>
              <w:t>Additionally, we had a one week Kinde</w:t>
            </w:r>
            <w:r w:rsidR="00C351EC" w:rsidRPr="00A76BDF">
              <w:rPr>
                <w:rFonts w:cs="Arial"/>
                <w:color w:val="000000" w:themeColor="text1"/>
              </w:rPr>
              <w:t>rgarten orientatio</w:t>
            </w:r>
            <w:r w:rsidR="00A06DC1" w:rsidRPr="00A76BDF">
              <w:rPr>
                <w:rFonts w:cs="Arial"/>
                <w:color w:val="000000" w:themeColor="text1"/>
              </w:rPr>
              <w:t>n the week of June 8</w:t>
            </w:r>
            <w:r w:rsidR="00A06DC1" w:rsidRPr="00A76BDF">
              <w:rPr>
                <w:rFonts w:cs="Arial"/>
                <w:color w:val="000000" w:themeColor="text1"/>
                <w:vertAlign w:val="superscript"/>
              </w:rPr>
              <w:t>th</w:t>
            </w:r>
            <w:r w:rsidR="00A06DC1" w:rsidRPr="00A76BDF">
              <w:rPr>
                <w:rFonts w:cs="Arial"/>
                <w:color w:val="000000" w:themeColor="text1"/>
              </w:rPr>
              <w:t xml:space="preserve"> -12</w:t>
            </w:r>
            <w:r w:rsidR="00A06DC1" w:rsidRPr="00A76BDF">
              <w:rPr>
                <w:rFonts w:cs="Arial"/>
                <w:color w:val="000000" w:themeColor="text1"/>
                <w:vertAlign w:val="superscript"/>
              </w:rPr>
              <w:t>th</w:t>
            </w:r>
            <w:r w:rsidR="00A06DC1" w:rsidRPr="00A76BDF">
              <w:rPr>
                <w:rFonts w:cs="Arial"/>
                <w:color w:val="000000" w:themeColor="text1"/>
              </w:rPr>
              <w:t xml:space="preserve"> with 9</w:t>
            </w:r>
            <w:r w:rsidR="00C351EC" w:rsidRPr="00A76BDF">
              <w:rPr>
                <w:rFonts w:cs="Arial"/>
                <w:color w:val="000000" w:themeColor="text1"/>
              </w:rPr>
              <w:t xml:space="preserve"> </w:t>
            </w:r>
            <w:r w:rsidR="00C351EC" w:rsidRPr="00A76BDF">
              <w:rPr>
                <w:rFonts w:cs="Arial"/>
                <w:color w:val="000000" w:themeColor="text1"/>
              </w:rPr>
              <w:lastRenderedPageBreak/>
              <w:t>students attending most of the week.</w:t>
            </w:r>
          </w:p>
        </w:tc>
      </w:tr>
      <w:tr w:rsidR="00317BA9" w14:paraId="70F76B72" w14:textId="77777777" w:rsidTr="00317BA9">
        <w:trPr>
          <w:trHeight w:val="728"/>
        </w:trPr>
        <w:tc>
          <w:tcPr>
            <w:tcW w:w="3708" w:type="dxa"/>
          </w:tcPr>
          <w:p w14:paraId="672FF0E7" w14:textId="77777777" w:rsidR="00317BA9" w:rsidRDefault="00317BA9" w:rsidP="00F10186">
            <w:pPr>
              <w:pStyle w:val="NoSpacing"/>
              <w:spacing w:after="360"/>
              <w:rPr>
                <w:sz w:val="20"/>
                <w:szCs w:val="20"/>
              </w:rPr>
            </w:pPr>
            <w:r w:rsidRPr="007E506F">
              <w:rPr>
                <w:b/>
              </w:rPr>
              <w:lastRenderedPageBreak/>
              <w:t>All Students in Third Grade Achieving Grade-Level Literacy</w:t>
            </w:r>
          </w:p>
        </w:tc>
        <w:tc>
          <w:tcPr>
            <w:tcW w:w="3156" w:type="dxa"/>
          </w:tcPr>
          <w:p w14:paraId="3539B878" w14:textId="77777777" w:rsidR="00C351EC" w:rsidRPr="00A76BDF" w:rsidRDefault="00C351EC" w:rsidP="00C351EC">
            <w:pPr>
              <w:spacing w:line="276" w:lineRule="auto"/>
              <w:contextualSpacing/>
              <w:rPr>
                <w:rFonts w:cs="Arial"/>
                <w:color w:val="000000" w:themeColor="text1"/>
              </w:rPr>
            </w:pPr>
            <w:r w:rsidRPr="00A76BDF">
              <w:rPr>
                <w:rFonts w:cs="Arial"/>
                <w:color w:val="000000" w:themeColor="text1"/>
              </w:rPr>
              <w:t>1). 100% of our students will be reading at grade level by third grade.</w:t>
            </w:r>
          </w:p>
          <w:p w14:paraId="02669250" w14:textId="77777777" w:rsidR="00C351EC" w:rsidRPr="00A76BDF" w:rsidRDefault="00C351EC" w:rsidP="00C351EC">
            <w:pPr>
              <w:spacing w:line="276" w:lineRule="auto"/>
              <w:contextualSpacing/>
              <w:rPr>
                <w:rFonts w:cs="Arial"/>
                <w:color w:val="000000" w:themeColor="text1"/>
              </w:rPr>
            </w:pPr>
            <w:r w:rsidRPr="00A76BDF">
              <w:rPr>
                <w:rFonts w:cs="Arial"/>
                <w:color w:val="000000" w:themeColor="text1"/>
              </w:rPr>
              <w:t xml:space="preserve">2).  All parents will know each quarter what their children’s reading level is based on NWEA, Study Island and classroom data.  </w:t>
            </w:r>
          </w:p>
          <w:p w14:paraId="3407BBD0" w14:textId="77777777" w:rsidR="00317BA9" w:rsidRPr="00A76BDF" w:rsidRDefault="00317BA9" w:rsidP="00F10186">
            <w:pPr>
              <w:pStyle w:val="NoSpacing"/>
              <w:spacing w:after="360"/>
              <w:rPr>
                <w:rFonts w:cs="Arial"/>
                <w:color w:val="000000" w:themeColor="text1"/>
              </w:rPr>
            </w:pPr>
          </w:p>
        </w:tc>
        <w:tc>
          <w:tcPr>
            <w:tcW w:w="3432" w:type="dxa"/>
          </w:tcPr>
          <w:p w14:paraId="27BCEF9C" w14:textId="77777777" w:rsidR="00A06DC1" w:rsidRPr="00A76BDF" w:rsidRDefault="00A06DC1" w:rsidP="00A06DC1">
            <w:pPr>
              <w:rPr>
                <w:rFonts w:cs="Arial"/>
                <w:color w:val="000000" w:themeColor="text1"/>
              </w:rPr>
            </w:pPr>
            <w:r w:rsidRPr="00A76BDF">
              <w:rPr>
                <w:rFonts w:cs="Arial"/>
                <w:color w:val="000000" w:themeColor="text1"/>
              </w:rPr>
              <w:t>1. MCA Proficiency Resul</w:t>
            </w:r>
            <w:r w:rsidR="00207BC6" w:rsidRPr="00A76BDF">
              <w:rPr>
                <w:rFonts w:cs="Arial"/>
                <w:color w:val="000000" w:themeColor="text1"/>
              </w:rPr>
              <w:t>ts</w:t>
            </w:r>
          </w:p>
          <w:p w14:paraId="1641045F" w14:textId="77777777" w:rsidR="00A06DC1" w:rsidRPr="00A76BDF" w:rsidRDefault="00A06DC1" w:rsidP="00A06DC1">
            <w:pPr>
              <w:rPr>
                <w:rFonts w:cs="Arial"/>
                <w:color w:val="000000" w:themeColor="text1"/>
              </w:rPr>
            </w:pPr>
          </w:p>
          <w:p w14:paraId="57517C0A" w14:textId="77777777" w:rsidR="00A06DC1" w:rsidRPr="00A76BDF" w:rsidRDefault="00A06DC1" w:rsidP="00A06DC1">
            <w:pPr>
              <w:rPr>
                <w:rFonts w:cs="Arial"/>
                <w:color w:val="000000" w:themeColor="text1"/>
              </w:rPr>
            </w:pPr>
            <w:r w:rsidRPr="00A76BDF">
              <w:rPr>
                <w:rFonts w:cs="Arial"/>
                <w:color w:val="000000" w:themeColor="text1"/>
              </w:rPr>
              <w:t>Schoolwide:</w:t>
            </w:r>
          </w:p>
          <w:p w14:paraId="6C106911" w14:textId="77777777" w:rsidR="00A06DC1" w:rsidRPr="00A76BDF" w:rsidRDefault="00A06DC1" w:rsidP="00A06DC1">
            <w:pPr>
              <w:rPr>
                <w:rFonts w:cs="Arial"/>
                <w:color w:val="000000" w:themeColor="text1"/>
              </w:rPr>
            </w:pPr>
            <w:r w:rsidRPr="00A76BDF">
              <w:rPr>
                <w:rFonts w:cs="Arial"/>
                <w:color w:val="000000" w:themeColor="text1"/>
              </w:rPr>
              <w:t>Reading: 41.9%</w:t>
            </w:r>
          </w:p>
          <w:p w14:paraId="4C9B9E6C" w14:textId="77777777" w:rsidR="00A06DC1" w:rsidRPr="00A76BDF" w:rsidRDefault="00A06DC1" w:rsidP="00A06DC1">
            <w:pPr>
              <w:rPr>
                <w:rFonts w:cs="Arial"/>
                <w:color w:val="000000" w:themeColor="text1"/>
              </w:rPr>
            </w:pPr>
            <w:r w:rsidRPr="00A76BDF">
              <w:rPr>
                <w:rFonts w:cs="Arial"/>
                <w:color w:val="000000" w:themeColor="text1"/>
              </w:rPr>
              <w:t>Math: 36.1%</w:t>
            </w:r>
          </w:p>
          <w:p w14:paraId="091968C8" w14:textId="77777777" w:rsidR="00E6463D" w:rsidRPr="00A76BDF" w:rsidRDefault="00E6463D" w:rsidP="00A06DC1">
            <w:pPr>
              <w:rPr>
                <w:rFonts w:cs="Arial"/>
                <w:color w:val="000000" w:themeColor="text1"/>
              </w:rPr>
            </w:pPr>
          </w:p>
          <w:p w14:paraId="2ED58870" w14:textId="77777777" w:rsidR="00E6463D" w:rsidRPr="00A76BDF" w:rsidRDefault="00E6463D" w:rsidP="00A06DC1">
            <w:pPr>
              <w:rPr>
                <w:rFonts w:cs="Arial"/>
                <w:color w:val="000000" w:themeColor="text1"/>
              </w:rPr>
            </w:pPr>
            <w:r w:rsidRPr="00A76BDF">
              <w:rPr>
                <w:rFonts w:cs="Arial"/>
                <w:color w:val="000000" w:themeColor="text1"/>
              </w:rPr>
              <w:t>3</w:t>
            </w:r>
            <w:r w:rsidRPr="00A76BDF">
              <w:rPr>
                <w:rFonts w:cs="Arial"/>
                <w:color w:val="000000" w:themeColor="text1"/>
                <w:vertAlign w:val="superscript"/>
              </w:rPr>
              <w:t>rd</w:t>
            </w:r>
            <w:r w:rsidRPr="00A76BDF">
              <w:rPr>
                <w:rFonts w:cs="Arial"/>
                <w:color w:val="000000" w:themeColor="text1"/>
              </w:rPr>
              <w:t xml:space="preserve"> Grade:</w:t>
            </w:r>
          </w:p>
          <w:p w14:paraId="50E00AFA" w14:textId="77777777" w:rsidR="00E6463D" w:rsidRPr="00A76BDF" w:rsidRDefault="00E6463D" w:rsidP="00A06DC1">
            <w:pPr>
              <w:rPr>
                <w:rFonts w:cs="Arial"/>
                <w:color w:val="000000" w:themeColor="text1"/>
              </w:rPr>
            </w:pPr>
            <w:r w:rsidRPr="00A76BDF">
              <w:rPr>
                <w:rFonts w:cs="Arial"/>
                <w:color w:val="000000" w:themeColor="text1"/>
              </w:rPr>
              <w:t>Reading:</w:t>
            </w:r>
            <w:r w:rsidR="008C1617">
              <w:rPr>
                <w:rFonts w:cs="Arial"/>
                <w:color w:val="000000" w:themeColor="text1"/>
              </w:rPr>
              <w:t xml:space="preserve"> </w:t>
            </w:r>
            <w:r w:rsidRPr="00A76BDF">
              <w:rPr>
                <w:rFonts w:cs="Arial"/>
                <w:color w:val="000000" w:themeColor="text1"/>
              </w:rPr>
              <w:t>23.%</w:t>
            </w:r>
          </w:p>
          <w:p w14:paraId="3E11EDF0" w14:textId="77777777" w:rsidR="00E6463D" w:rsidRPr="00A76BDF" w:rsidRDefault="00E6463D" w:rsidP="00A06DC1">
            <w:pPr>
              <w:rPr>
                <w:rFonts w:cs="Arial"/>
                <w:color w:val="000000" w:themeColor="text1"/>
              </w:rPr>
            </w:pPr>
            <w:r w:rsidRPr="00A76BDF">
              <w:rPr>
                <w:rFonts w:cs="Arial"/>
                <w:color w:val="000000" w:themeColor="text1"/>
              </w:rPr>
              <w:t>Math: 16.7%</w:t>
            </w:r>
          </w:p>
          <w:p w14:paraId="50E1F737" w14:textId="77777777" w:rsidR="00A06DC1" w:rsidRPr="00A76BDF" w:rsidRDefault="00A06DC1" w:rsidP="0065461B">
            <w:pPr>
              <w:ind w:firstLine="720"/>
              <w:rPr>
                <w:rFonts w:cs="Arial"/>
                <w:color w:val="000000" w:themeColor="text1"/>
              </w:rPr>
            </w:pPr>
          </w:p>
          <w:p w14:paraId="07D5C975" w14:textId="77777777" w:rsidR="00A06DC1" w:rsidRPr="00A76BDF" w:rsidRDefault="00A06DC1" w:rsidP="00A06DC1">
            <w:pPr>
              <w:rPr>
                <w:rFonts w:cs="Arial"/>
                <w:color w:val="000000" w:themeColor="text1"/>
              </w:rPr>
            </w:pPr>
            <w:r w:rsidRPr="00A76BDF">
              <w:rPr>
                <w:rFonts w:cs="Arial"/>
                <w:color w:val="000000" w:themeColor="text1"/>
              </w:rPr>
              <w:t>Subgroup Scores:</w:t>
            </w:r>
          </w:p>
          <w:p w14:paraId="2F9E4421" w14:textId="77777777" w:rsidR="00A06DC1" w:rsidRPr="00A76BDF" w:rsidRDefault="00A06DC1" w:rsidP="00A06DC1">
            <w:pPr>
              <w:rPr>
                <w:rFonts w:cs="Arial"/>
                <w:color w:val="000000" w:themeColor="text1"/>
              </w:rPr>
            </w:pPr>
          </w:p>
          <w:p w14:paraId="65A8696C" w14:textId="77777777" w:rsidR="00A06DC1" w:rsidRPr="00A76BDF" w:rsidRDefault="00A06DC1" w:rsidP="00A06DC1">
            <w:pPr>
              <w:rPr>
                <w:rFonts w:cs="Arial"/>
                <w:color w:val="000000" w:themeColor="text1"/>
              </w:rPr>
            </w:pPr>
            <w:r w:rsidRPr="00A76BDF">
              <w:rPr>
                <w:rFonts w:cs="Arial"/>
                <w:color w:val="000000" w:themeColor="text1"/>
              </w:rPr>
              <w:t>EL Students: Reading:  15% (Statewide:</w:t>
            </w:r>
            <w:r w:rsidR="008C1617">
              <w:rPr>
                <w:rFonts w:cs="Arial"/>
                <w:color w:val="000000" w:themeColor="text1"/>
              </w:rPr>
              <w:t xml:space="preserve"> </w:t>
            </w:r>
            <w:r w:rsidRPr="00A76BDF">
              <w:rPr>
                <w:rFonts w:cs="Arial"/>
                <w:color w:val="000000" w:themeColor="text1"/>
              </w:rPr>
              <w:t>17%)</w:t>
            </w:r>
          </w:p>
          <w:p w14:paraId="08E1405C" w14:textId="77777777" w:rsidR="008C1617" w:rsidRDefault="00A06DC1" w:rsidP="00A06DC1">
            <w:pPr>
              <w:rPr>
                <w:rFonts w:cs="Arial"/>
                <w:color w:val="000000" w:themeColor="text1"/>
              </w:rPr>
            </w:pPr>
            <w:r w:rsidRPr="00A76BDF">
              <w:rPr>
                <w:rFonts w:cs="Arial"/>
                <w:color w:val="000000" w:themeColor="text1"/>
              </w:rPr>
              <w:t xml:space="preserve">Math: 16% </w:t>
            </w:r>
          </w:p>
          <w:p w14:paraId="446EC105" w14:textId="77777777" w:rsidR="00A06DC1" w:rsidRPr="00A76BDF" w:rsidRDefault="00A06DC1" w:rsidP="00A06DC1">
            <w:pPr>
              <w:rPr>
                <w:rFonts w:cs="Arial"/>
                <w:color w:val="000000" w:themeColor="text1"/>
              </w:rPr>
            </w:pPr>
            <w:r w:rsidRPr="00A76BDF">
              <w:rPr>
                <w:rFonts w:cs="Arial"/>
                <w:color w:val="000000" w:themeColor="text1"/>
              </w:rPr>
              <w:t>(Statewide: 25%)</w:t>
            </w:r>
          </w:p>
          <w:p w14:paraId="67EFAE1D" w14:textId="77777777" w:rsidR="00317BA9" w:rsidRPr="00A76BDF" w:rsidRDefault="00317BA9" w:rsidP="00A06DC1">
            <w:pPr>
              <w:rPr>
                <w:rFonts w:cs="Arial"/>
                <w:color w:val="000000" w:themeColor="text1"/>
              </w:rPr>
            </w:pPr>
          </w:p>
        </w:tc>
      </w:tr>
      <w:tr w:rsidR="00317BA9" w14:paraId="2EED8EAC" w14:textId="77777777" w:rsidTr="00317BA9">
        <w:tc>
          <w:tcPr>
            <w:tcW w:w="3708" w:type="dxa"/>
          </w:tcPr>
          <w:p w14:paraId="5EE1D73E" w14:textId="77777777" w:rsidR="00317BA9" w:rsidRPr="00317BA9" w:rsidRDefault="00317BA9" w:rsidP="00317BA9">
            <w:pPr>
              <w:pStyle w:val="NoSpacing"/>
              <w:rPr>
                <w:b/>
              </w:rPr>
            </w:pPr>
            <w:r w:rsidRPr="007E506F">
              <w:rPr>
                <w:b/>
              </w:rPr>
              <w:t>Clos</w:t>
            </w:r>
            <w:r>
              <w:rPr>
                <w:b/>
              </w:rPr>
              <w:t>e the</w:t>
            </w:r>
            <w:r w:rsidRPr="007E506F">
              <w:rPr>
                <w:b/>
              </w:rPr>
              <w:t xml:space="preserve"> Achievement Gap(s)</w:t>
            </w:r>
            <w:r>
              <w:rPr>
                <w:b/>
              </w:rPr>
              <w:t xml:space="preserve"> Among All Groups</w:t>
            </w:r>
          </w:p>
        </w:tc>
        <w:tc>
          <w:tcPr>
            <w:tcW w:w="3156" w:type="dxa"/>
          </w:tcPr>
          <w:p w14:paraId="190B55D8" w14:textId="77777777" w:rsidR="00317BA9" w:rsidRPr="00A76BDF" w:rsidRDefault="00BA3311" w:rsidP="00BA3311">
            <w:pPr>
              <w:pStyle w:val="NoSpacing"/>
              <w:spacing w:after="360"/>
              <w:rPr>
                <w:rFonts w:cs="Arial"/>
                <w:color w:val="000000" w:themeColor="text1"/>
              </w:rPr>
            </w:pPr>
            <w:r w:rsidRPr="00A76BDF">
              <w:rPr>
                <w:rFonts w:cs="Arial"/>
                <w:color w:val="000000" w:themeColor="text1"/>
              </w:rPr>
              <w:t>1) All students who are behind are expected to grow 150% yearly on NWEA MAP Reading and Math assessments.</w:t>
            </w:r>
          </w:p>
        </w:tc>
        <w:tc>
          <w:tcPr>
            <w:tcW w:w="3432" w:type="dxa"/>
          </w:tcPr>
          <w:p w14:paraId="62E8FDA8" w14:textId="77777777" w:rsidR="00634DFC" w:rsidRPr="00A76BDF" w:rsidRDefault="00634DFC" w:rsidP="00634DFC">
            <w:pPr>
              <w:rPr>
                <w:rFonts w:cs="Arial"/>
                <w:color w:val="000000" w:themeColor="text1"/>
              </w:rPr>
            </w:pPr>
            <w:r w:rsidRPr="00A76BDF">
              <w:rPr>
                <w:rFonts w:cs="Arial"/>
                <w:color w:val="000000" w:themeColor="text1"/>
              </w:rPr>
              <w:t xml:space="preserve">NWEA Growth Goals: Note: This year’s test was from winter to spring which is not a complete year of instruction. </w:t>
            </w:r>
          </w:p>
          <w:p w14:paraId="1F580D18" w14:textId="77777777" w:rsidR="00634DFC" w:rsidRPr="00A76BDF" w:rsidRDefault="00634DFC" w:rsidP="00634DFC">
            <w:pPr>
              <w:rPr>
                <w:rFonts w:cs="Arial"/>
                <w:color w:val="000000" w:themeColor="text1"/>
              </w:rPr>
            </w:pPr>
          </w:p>
          <w:p w14:paraId="0FFB1D40" w14:textId="77777777" w:rsidR="00634DFC" w:rsidRPr="00A76BDF" w:rsidRDefault="00634DFC" w:rsidP="00634DFC">
            <w:pPr>
              <w:rPr>
                <w:rFonts w:cs="Arial"/>
                <w:color w:val="000000" w:themeColor="text1"/>
              </w:rPr>
            </w:pPr>
            <w:r w:rsidRPr="00A76BDF">
              <w:rPr>
                <w:rFonts w:cs="Arial"/>
                <w:color w:val="000000" w:themeColor="text1"/>
              </w:rPr>
              <w:t xml:space="preserve">On or above grade level who achieved 100% growth: </w:t>
            </w:r>
          </w:p>
          <w:p w14:paraId="2F9DD753" w14:textId="77777777" w:rsidR="00634DFC" w:rsidRPr="00A76BDF" w:rsidRDefault="00634DFC" w:rsidP="00634DFC">
            <w:pPr>
              <w:rPr>
                <w:rFonts w:cs="Arial"/>
                <w:color w:val="000000" w:themeColor="text1"/>
              </w:rPr>
            </w:pPr>
          </w:p>
          <w:p w14:paraId="555A5209" w14:textId="77777777" w:rsidR="00634DFC" w:rsidRPr="00A76BDF" w:rsidRDefault="00634DFC" w:rsidP="00634DFC">
            <w:pPr>
              <w:rPr>
                <w:rFonts w:cs="Arial"/>
                <w:color w:val="000000" w:themeColor="text1"/>
              </w:rPr>
            </w:pPr>
            <w:r w:rsidRPr="00A76BDF">
              <w:rPr>
                <w:rFonts w:cs="Arial"/>
                <w:color w:val="000000" w:themeColor="text1"/>
              </w:rPr>
              <w:t>Math: 89%</w:t>
            </w:r>
          </w:p>
          <w:p w14:paraId="0509F6AB" w14:textId="77777777" w:rsidR="00634DFC" w:rsidRPr="00A76BDF" w:rsidRDefault="00634DFC" w:rsidP="00634DFC">
            <w:pPr>
              <w:rPr>
                <w:rFonts w:cs="Arial"/>
                <w:color w:val="000000" w:themeColor="text1"/>
              </w:rPr>
            </w:pPr>
            <w:r w:rsidRPr="00A76BDF">
              <w:rPr>
                <w:rFonts w:cs="Arial"/>
                <w:color w:val="000000" w:themeColor="text1"/>
              </w:rPr>
              <w:t xml:space="preserve">Reading: 53% </w:t>
            </w:r>
          </w:p>
          <w:p w14:paraId="6A48B7F7" w14:textId="77777777" w:rsidR="00634DFC" w:rsidRPr="00A76BDF" w:rsidRDefault="00634DFC" w:rsidP="00634DFC">
            <w:pPr>
              <w:pStyle w:val="NoSpacing"/>
              <w:rPr>
                <w:rFonts w:cs="Arial"/>
                <w:color w:val="000000" w:themeColor="text1"/>
              </w:rPr>
            </w:pPr>
            <w:r w:rsidRPr="00A76BDF">
              <w:rPr>
                <w:rFonts w:cs="Arial"/>
                <w:color w:val="000000" w:themeColor="text1"/>
              </w:rPr>
              <w:t>Note:  Only two students did not meet his/her goals</w:t>
            </w:r>
          </w:p>
          <w:p w14:paraId="02C66144" w14:textId="77777777" w:rsidR="00634DFC" w:rsidRPr="00A76BDF" w:rsidRDefault="00634DFC" w:rsidP="00634DFC">
            <w:pPr>
              <w:pStyle w:val="NoSpacing"/>
              <w:rPr>
                <w:rFonts w:cs="Arial"/>
                <w:color w:val="000000" w:themeColor="text1"/>
              </w:rPr>
            </w:pPr>
          </w:p>
          <w:p w14:paraId="0F8E1BB6" w14:textId="77777777" w:rsidR="00634DFC" w:rsidRPr="00A76BDF" w:rsidRDefault="00634DFC" w:rsidP="00634DFC">
            <w:pPr>
              <w:pStyle w:val="NoSpacing"/>
              <w:rPr>
                <w:rFonts w:cs="Arial"/>
                <w:color w:val="000000" w:themeColor="text1"/>
              </w:rPr>
            </w:pPr>
            <w:r w:rsidRPr="00A76BDF">
              <w:rPr>
                <w:rFonts w:cs="Arial"/>
                <w:color w:val="000000" w:themeColor="text1"/>
              </w:rPr>
              <w:t>Below grade level who achieved 150% growth:</w:t>
            </w:r>
          </w:p>
          <w:p w14:paraId="59C9DCD3" w14:textId="77777777" w:rsidR="00634DFC" w:rsidRPr="00A76BDF" w:rsidRDefault="00634DFC" w:rsidP="00634DFC">
            <w:pPr>
              <w:pStyle w:val="NoSpacing"/>
              <w:rPr>
                <w:rFonts w:cs="Arial"/>
                <w:color w:val="000000" w:themeColor="text1"/>
              </w:rPr>
            </w:pPr>
          </w:p>
          <w:p w14:paraId="302974FA" w14:textId="77777777" w:rsidR="00634DFC" w:rsidRPr="00A76BDF" w:rsidRDefault="00634DFC" w:rsidP="00634DFC">
            <w:pPr>
              <w:pStyle w:val="NoSpacing"/>
              <w:rPr>
                <w:rFonts w:cs="Arial"/>
                <w:color w:val="000000" w:themeColor="text1"/>
              </w:rPr>
            </w:pPr>
            <w:r w:rsidRPr="00A76BDF">
              <w:rPr>
                <w:rFonts w:cs="Arial"/>
                <w:color w:val="000000" w:themeColor="text1"/>
              </w:rPr>
              <w:t>Math: 98%</w:t>
            </w:r>
          </w:p>
          <w:p w14:paraId="41796AFE" w14:textId="77777777" w:rsidR="00634DFC" w:rsidRPr="00A76BDF" w:rsidRDefault="00634DFC" w:rsidP="00634DFC">
            <w:pPr>
              <w:pStyle w:val="NoSpacing"/>
              <w:rPr>
                <w:rFonts w:cs="Arial"/>
                <w:color w:val="000000" w:themeColor="text1"/>
              </w:rPr>
            </w:pPr>
            <w:r w:rsidRPr="00A76BDF">
              <w:rPr>
                <w:rFonts w:cs="Arial"/>
                <w:color w:val="000000" w:themeColor="text1"/>
              </w:rPr>
              <w:t>Reading:  73%</w:t>
            </w:r>
          </w:p>
          <w:p w14:paraId="6A0A79BF" w14:textId="77777777" w:rsidR="00317BA9" w:rsidRPr="00A76BDF" w:rsidRDefault="00317BA9" w:rsidP="001045D5">
            <w:pPr>
              <w:rPr>
                <w:rFonts w:cs="Arial"/>
                <w:color w:val="000000" w:themeColor="text1"/>
              </w:rPr>
            </w:pPr>
          </w:p>
        </w:tc>
      </w:tr>
      <w:tr w:rsidR="00317BA9" w14:paraId="37DBC023" w14:textId="77777777" w:rsidTr="00317BA9">
        <w:tc>
          <w:tcPr>
            <w:tcW w:w="3708" w:type="dxa"/>
          </w:tcPr>
          <w:p w14:paraId="6A8720BE" w14:textId="77777777" w:rsidR="00317BA9" w:rsidRPr="00317BA9" w:rsidRDefault="00317BA9" w:rsidP="00317BA9">
            <w:pPr>
              <w:pStyle w:val="NoSpacing"/>
              <w:rPr>
                <w:b/>
              </w:rPr>
            </w:pPr>
            <w:r w:rsidRPr="007E506F">
              <w:rPr>
                <w:b/>
              </w:rPr>
              <w:t>All Students Career</w:t>
            </w:r>
            <w:r>
              <w:rPr>
                <w:b/>
              </w:rPr>
              <w:t>-</w:t>
            </w:r>
            <w:r w:rsidRPr="007E506F">
              <w:rPr>
                <w:b/>
              </w:rPr>
              <w:t xml:space="preserve"> and College</w:t>
            </w:r>
            <w:r>
              <w:rPr>
                <w:b/>
              </w:rPr>
              <w:t>-</w:t>
            </w:r>
            <w:r w:rsidRPr="007E506F">
              <w:rPr>
                <w:b/>
              </w:rPr>
              <w:t xml:space="preserve">Ready by Graduation </w:t>
            </w:r>
          </w:p>
        </w:tc>
        <w:tc>
          <w:tcPr>
            <w:tcW w:w="3156" w:type="dxa"/>
          </w:tcPr>
          <w:p w14:paraId="5D000512" w14:textId="77777777" w:rsidR="00436D86" w:rsidRPr="00A76BDF" w:rsidRDefault="00436D86" w:rsidP="00436D86">
            <w:pPr>
              <w:rPr>
                <w:rFonts w:cs="Arial"/>
                <w:color w:val="000000" w:themeColor="text1"/>
              </w:rPr>
            </w:pPr>
            <w:r w:rsidRPr="00A76BDF">
              <w:rPr>
                <w:rFonts w:cs="Arial"/>
                <w:color w:val="000000" w:themeColor="text1"/>
              </w:rPr>
              <w:t xml:space="preserve">Our first goal in preparing students for college and career readiness is to make sure they are working at or above grade level on the Minnesota Academic </w:t>
            </w:r>
            <w:r w:rsidRPr="00A76BDF">
              <w:rPr>
                <w:rFonts w:cs="Arial"/>
                <w:color w:val="000000" w:themeColor="text1"/>
              </w:rPr>
              <w:lastRenderedPageBreak/>
              <w:t>Standards.  To determine this we use:</w:t>
            </w:r>
          </w:p>
          <w:p w14:paraId="64CF5A87" w14:textId="77777777" w:rsidR="00436D86" w:rsidRPr="00A76BDF" w:rsidRDefault="00436D86" w:rsidP="00436D86">
            <w:pPr>
              <w:rPr>
                <w:rFonts w:cs="Arial"/>
                <w:color w:val="000000" w:themeColor="text1"/>
              </w:rPr>
            </w:pPr>
            <w:r w:rsidRPr="00A76BDF">
              <w:rPr>
                <w:rFonts w:cs="Arial"/>
                <w:color w:val="000000" w:themeColor="text1"/>
              </w:rPr>
              <w:t>-NWEA MAP testing for all grades</w:t>
            </w:r>
          </w:p>
          <w:p w14:paraId="01D0E8D4" w14:textId="77777777" w:rsidR="00436D86" w:rsidRPr="00A76BDF" w:rsidRDefault="00436D86" w:rsidP="00436D86">
            <w:pPr>
              <w:rPr>
                <w:rFonts w:cs="Arial"/>
                <w:color w:val="000000" w:themeColor="text1"/>
              </w:rPr>
            </w:pPr>
            <w:r w:rsidRPr="00A76BDF">
              <w:rPr>
                <w:rFonts w:cs="Arial"/>
                <w:color w:val="000000" w:themeColor="text1"/>
              </w:rPr>
              <w:t>-OLPA and MCA for Grades 3-8</w:t>
            </w:r>
          </w:p>
          <w:p w14:paraId="4680C330" w14:textId="77777777" w:rsidR="00436D86" w:rsidRPr="00A76BDF" w:rsidRDefault="00436D86" w:rsidP="00436D86">
            <w:pPr>
              <w:rPr>
                <w:rFonts w:cs="Arial"/>
                <w:color w:val="000000" w:themeColor="text1"/>
              </w:rPr>
            </w:pPr>
            <w:r w:rsidRPr="00A76BDF">
              <w:rPr>
                <w:rFonts w:cs="Arial"/>
                <w:color w:val="000000" w:themeColor="text1"/>
              </w:rPr>
              <w:t>-Study Island online standards management program.  Students complete 80% of grade level standards.</w:t>
            </w:r>
          </w:p>
          <w:p w14:paraId="54CCEECA" w14:textId="77777777" w:rsidR="00317BA9" w:rsidRPr="00A76BDF" w:rsidRDefault="00436D86" w:rsidP="00436D86">
            <w:pPr>
              <w:pStyle w:val="NoSpacing"/>
              <w:spacing w:after="360"/>
              <w:rPr>
                <w:rFonts w:cs="Arial"/>
                <w:color w:val="000000" w:themeColor="text1"/>
              </w:rPr>
            </w:pPr>
            <w:r w:rsidRPr="00A76BDF">
              <w:rPr>
                <w:rFonts w:cs="Arial"/>
                <w:color w:val="000000" w:themeColor="text1"/>
              </w:rPr>
              <w:t>-Classroom Assessments and teacher observations</w:t>
            </w:r>
          </w:p>
        </w:tc>
        <w:tc>
          <w:tcPr>
            <w:tcW w:w="3432" w:type="dxa"/>
          </w:tcPr>
          <w:p w14:paraId="54F1B0DF" w14:textId="77777777" w:rsidR="0065461B" w:rsidRPr="00A76BDF" w:rsidRDefault="0065461B" w:rsidP="0065461B">
            <w:pPr>
              <w:rPr>
                <w:rFonts w:cs="Arial"/>
                <w:color w:val="000000" w:themeColor="text1"/>
              </w:rPr>
            </w:pPr>
            <w:r w:rsidRPr="00A76BDF">
              <w:rPr>
                <w:rFonts w:cs="Arial"/>
                <w:color w:val="000000" w:themeColor="text1"/>
              </w:rPr>
              <w:lastRenderedPageBreak/>
              <w:t>1. MCA Proficiency Results</w:t>
            </w:r>
          </w:p>
          <w:p w14:paraId="571B2DA8" w14:textId="77777777" w:rsidR="0065461B" w:rsidRPr="00A76BDF" w:rsidRDefault="0065461B" w:rsidP="0065461B">
            <w:pPr>
              <w:rPr>
                <w:rFonts w:cs="Arial"/>
                <w:color w:val="000000" w:themeColor="text1"/>
              </w:rPr>
            </w:pPr>
          </w:p>
          <w:p w14:paraId="48B36D48" w14:textId="77777777" w:rsidR="0065461B" w:rsidRPr="00A76BDF" w:rsidRDefault="0065461B" w:rsidP="0065461B">
            <w:pPr>
              <w:rPr>
                <w:rFonts w:cs="Arial"/>
                <w:color w:val="000000" w:themeColor="text1"/>
              </w:rPr>
            </w:pPr>
            <w:r w:rsidRPr="00A76BDF">
              <w:rPr>
                <w:rFonts w:cs="Arial"/>
                <w:color w:val="000000" w:themeColor="text1"/>
              </w:rPr>
              <w:t>Schoolwide:</w:t>
            </w:r>
          </w:p>
          <w:p w14:paraId="26744889" w14:textId="77777777" w:rsidR="0065461B" w:rsidRPr="00A76BDF" w:rsidRDefault="0065461B" w:rsidP="0065461B">
            <w:pPr>
              <w:rPr>
                <w:rFonts w:cs="Arial"/>
                <w:color w:val="000000" w:themeColor="text1"/>
              </w:rPr>
            </w:pPr>
            <w:r w:rsidRPr="00A76BDF">
              <w:rPr>
                <w:rFonts w:cs="Arial"/>
                <w:color w:val="000000" w:themeColor="text1"/>
              </w:rPr>
              <w:t>Reading: 41.9%</w:t>
            </w:r>
          </w:p>
          <w:p w14:paraId="560F8064" w14:textId="77777777" w:rsidR="0065461B" w:rsidRPr="00A76BDF" w:rsidRDefault="0065461B" w:rsidP="0065461B">
            <w:pPr>
              <w:rPr>
                <w:rFonts w:cs="Arial"/>
                <w:color w:val="000000" w:themeColor="text1"/>
              </w:rPr>
            </w:pPr>
            <w:r w:rsidRPr="00A76BDF">
              <w:rPr>
                <w:rFonts w:cs="Arial"/>
                <w:color w:val="000000" w:themeColor="text1"/>
              </w:rPr>
              <w:t>Math: 36.1%</w:t>
            </w:r>
          </w:p>
          <w:p w14:paraId="2BBD6741" w14:textId="77777777" w:rsidR="0065461B" w:rsidRPr="00A76BDF" w:rsidRDefault="0065461B" w:rsidP="0065461B">
            <w:pPr>
              <w:rPr>
                <w:rFonts w:cs="Arial"/>
                <w:color w:val="000000" w:themeColor="text1"/>
              </w:rPr>
            </w:pPr>
          </w:p>
          <w:p w14:paraId="1C2EE3CF" w14:textId="77777777" w:rsidR="0065461B" w:rsidRPr="00A76BDF" w:rsidRDefault="0065461B" w:rsidP="0065461B">
            <w:pPr>
              <w:rPr>
                <w:rFonts w:cs="Arial"/>
                <w:color w:val="000000" w:themeColor="text1"/>
              </w:rPr>
            </w:pPr>
            <w:r w:rsidRPr="00A76BDF">
              <w:rPr>
                <w:rFonts w:cs="Arial"/>
                <w:color w:val="000000" w:themeColor="text1"/>
              </w:rPr>
              <w:t>3</w:t>
            </w:r>
            <w:r w:rsidRPr="00A76BDF">
              <w:rPr>
                <w:rFonts w:cs="Arial"/>
                <w:color w:val="000000" w:themeColor="text1"/>
                <w:vertAlign w:val="superscript"/>
              </w:rPr>
              <w:t>rd</w:t>
            </w:r>
            <w:r w:rsidRPr="00A76BDF">
              <w:rPr>
                <w:rFonts w:cs="Arial"/>
                <w:color w:val="000000" w:themeColor="text1"/>
              </w:rPr>
              <w:t xml:space="preserve"> Grade:</w:t>
            </w:r>
          </w:p>
          <w:p w14:paraId="4DE642B5" w14:textId="77777777" w:rsidR="0065461B" w:rsidRPr="00A76BDF" w:rsidRDefault="0065461B" w:rsidP="0065461B">
            <w:pPr>
              <w:rPr>
                <w:rFonts w:cs="Arial"/>
                <w:color w:val="000000" w:themeColor="text1"/>
              </w:rPr>
            </w:pPr>
            <w:r w:rsidRPr="00A76BDF">
              <w:rPr>
                <w:rFonts w:cs="Arial"/>
                <w:color w:val="000000" w:themeColor="text1"/>
              </w:rPr>
              <w:lastRenderedPageBreak/>
              <w:t>Reading:23.%</w:t>
            </w:r>
          </w:p>
          <w:p w14:paraId="1599F0AC" w14:textId="77777777" w:rsidR="0065461B" w:rsidRPr="00A76BDF" w:rsidRDefault="0065461B" w:rsidP="0065461B">
            <w:pPr>
              <w:rPr>
                <w:rFonts w:cs="Arial"/>
                <w:color w:val="000000" w:themeColor="text1"/>
              </w:rPr>
            </w:pPr>
            <w:r w:rsidRPr="00A76BDF">
              <w:rPr>
                <w:rFonts w:cs="Arial"/>
                <w:color w:val="000000" w:themeColor="text1"/>
              </w:rPr>
              <w:t>Math: 16.7%</w:t>
            </w:r>
          </w:p>
          <w:p w14:paraId="4DB2C4EF" w14:textId="77777777" w:rsidR="0065461B" w:rsidRPr="00A76BDF" w:rsidRDefault="0065461B" w:rsidP="0065461B">
            <w:pPr>
              <w:ind w:firstLine="720"/>
              <w:rPr>
                <w:rFonts w:cs="Arial"/>
                <w:color w:val="000000" w:themeColor="text1"/>
              </w:rPr>
            </w:pPr>
          </w:p>
          <w:p w14:paraId="5E39E57B" w14:textId="77777777" w:rsidR="0065461B" w:rsidRPr="00A76BDF" w:rsidRDefault="0065461B" w:rsidP="0065461B">
            <w:pPr>
              <w:rPr>
                <w:rFonts w:cs="Arial"/>
                <w:color w:val="000000" w:themeColor="text1"/>
              </w:rPr>
            </w:pPr>
            <w:r w:rsidRPr="00A76BDF">
              <w:rPr>
                <w:rFonts w:cs="Arial"/>
                <w:color w:val="000000" w:themeColor="text1"/>
              </w:rPr>
              <w:t>Subgroup Scores:</w:t>
            </w:r>
          </w:p>
          <w:p w14:paraId="6E2585A9" w14:textId="77777777" w:rsidR="0065461B" w:rsidRPr="00A76BDF" w:rsidRDefault="0065461B" w:rsidP="0065461B">
            <w:pPr>
              <w:rPr>
                <w:rFonts w:cs="Arial"/>
                <w:color w:val="000000" w:themeColor="text1"/>
              </w:rPr>
            </w:pPr>
          </w:p>
          <w:p w14:paraId="30858667" w14:textId="77777777" w:rsidR="0065461B" w:rsidRPr="00A76BDF" w:rsidRDefault="0065461B" w:rsidP="0065461B">
            <w:pPr>
              <w:rPr>
                <w:rFonts w:cs="Arial"/>
                <w:color w:val="000000" w:themeColor="text1"/>
              </w:rPr>
            </w:pPr>
            <w:r w:rsidRPr="00A76BDF">
              <w:rPr>
                <w:rFonts w:cs="Arial"/>
                <w:color w:val="000000" w:themeColor="text1"/>
              </w:rPr>
              <w:t>EL Students: Reading:  15% (Statewide:17%)</w:t>
            </w:r>
          </w:p>
          <w:p w14:paraId="0D81E760" w14:textId="77777777" w:rsidR="0065461B" w:rsidRPr="00A76BDF" w:rsidRDefault="0065461B" w:rsidP="0065461B">
            <w:pPr>
              <w:rPr>
                <w:rFonts w:cs="Arial"/>
                <w:color w:val="000000" w:themeColor="text1"/>
              </w:rPr>
            </w:pPr>
            <w:r w:rsidRPr="00A76BDF">
              <w:rPr>
                <w:rFonts w:cs="Arial"/>
                <w:color w:val="000000" w:themeColor="text1"/>
              </w:rPr>
              <w:t>Math: 16% (Statewide: 25%)</w:t>
            </w:r>
          </w:p>
          <w:p w14:paraId="4B960C11" w14:textId="77777777" w:rsidR="00317BA9" w:rsidRPr="00A76BDF" w:rsidRDefault="00317BA9" w:rsidP="001045D5">
            <w:pPr>
              <w:rPr>
                <w:rFonts w:cs="Arial"/>
                <w:color w:val="000000" w:themeColor="text1"/>
              </w:rPr>
            </w:pPr>
          </w:p>
          <w:p w14:paraId="5659B8DF" w14:textId="77777777" w:rsidR="0065461B" w:rsidRPr="00A76BDF" w:rsidRDefault="0065461B" w:rsidP="0065461B">
            <w:pPr>
              <w:rPr>
                <w:rFonts w:cs="Arial"/>
                <w:color w:val="000000" w:themeColor="text1"/>
              </w:rPr>
            </w:pPr>
            <w:r w:rsidRPr="00A76BDF">
              <w:rPr>
                <w:rFonts w:cs="Arial"/>
                <w:color w:val="000000" w:themeColor="text1"/>
              </w:rPr>
              <w:t xml:space="preserve">NWEA Growth Goals: Note: This year’s test was from winter to spring which is not a complete year of instruction. </w:t>
            </w:r>
          </w:p>
          <w:p w14:paraId="4B1634E7" w14:textId="77777777" w:rsidR="0065461B" w:rsidRPr="00A76BDF" w:rsidRDefault="0065461B" w:rsidP="0065461B">
            <w:pPr>
              <w:rPr>
                <w:rFonts w:cs="Arial"/>
                <w:color w:val="000000" w:themeColor="text1"/>
              </w:rPr>
            </w:pPr>
          </w:p>
          <w:p w14:paraId="2DF85F5B" w14:textId="77777777" w:rsidR="0065461B" w:rsidRPr="00A76BDF" w:rsidRDefault="0065461B" w:rsidP="0065461B">
            <w:pPr>
              <w:rPr>
                <w:rFonts w:cs="Arial"/>
                <w:color w:val="000000" w:themeColor="text1"/>
              </w:rPr>
            </w:pPr>
            <w:r w:rsidRPr="00A76BDF">
              <w:rPr>
                <w:rFonts w:cs="Arial"/>
                <w:color w:val="000000" w:themeColor="text1"/>
              </w:rPr>
              <w:t xml:space="preserve">On or above grade level who achieved 100% growth: </w:t>
            </w:r>
          </w:p>
          <w:p w14:paraId="2C6EECF1" w14:textId="77777777" w:rsidR="0065461B" w:rsidRPr="00A76BDF" w:rsidRDefault="0065461B" w:rsidP="0065461B">
            <w:pPr>
              <w:rPr>
                <w:rFonts w:cs="Arial"/>
                <w:color w:val="000000" w:themeColor="text1"/>
              </w:rPr>
            </w:pPr>
          </w:p>
          <w:p w14:paraId="3684ACF2" w14:textId="77777777" w:rsidR="0065461B" w:rsidRPr="00A76BDF" w:rsidRDefault="0065461B" w:rsidP="0065461B">
            <w:pPr>
              <w:rPr>
                <w:rFonts w:cs="Arial"/>
                <w:color w:val="000000" w:themeColor="text1"/>
              </w:rPr>
            </w:pPr>
            <w:r w:rsidRPr="00A76BDF">
              <w:rPr>
                <w:rFonts w:cs="Arial"/>
                <w:color w:val="000000" w:themeColor="text1"/>
              </w:rPr>
              <w:t>Math: 89%</w:t>
            </w:r>
          </w:p>
          <w:p w14:paraId="1AEBA020" w14:textId="77777777" w:rsidR="0065461B" w:rsidRPr="00A76BDF" w:rsidRDefault="0065461B" w:rsidP="0065461B">
            <w:pPr>
              <w:rPr>
                <w:rFonts w:cs="Arial"/>
                <w:color w:val="000000" w:themeColor="text1"/>
              </w:rPr>
            </w:pPr>
            <w:r w:rsidRPr="00A76BDF">
              <w:rPr>
                <w:rFonts w:cs="Arial"/>
                <w:color w:val="000000" w:themeColor="text1"/>
              </w:rPr>
              <w:t xml:space="preserve">Reading: 53% </w:t>
            </w:r>
          </w:p>
          <w:p w14:paraId="5C6AA7CA" w14:textId="77777777" w:rsidR="0065461B" w:rsidRPr="00A76BDF" w:rsidRDefault="0065461B" w:rsidP="0065461B">
            <w:pPr>
              <w:pStyle w:val="NoSpacing"/>
              <w:rPr>
                <w:rFonts w:cs="Arial"/>
                <w:color w:val="000000" w:themeColor="text1"/>
              </w:rPr>
            </w:pPr>
            <w:r w:rsidRPr="00A76BDF">
              <w:rPr>
                <w:rFonts w:cs="Arial"/>
                <w:color w:val="000000" w:themeColor="text1"/>
              </w:rPr>
              <w:t>Note:  Only two students did not meet his/her goals</w:t>
            </w:r>
          </w:p>
          <w:p w14:paraId="02B3EB1F" w14:textId="77777777" w:rsidR="0065461B" w:rsidRPr="00A76BDF" w:rsidRDefault="0065461B" w:rsidP="0065461B">
            <w:pPr>
              <w:pStyle w:val="NoSpacing"/>
              <w:rPr>
                <w:rFonts w:cs="Arial"/>
                <w:color w:val="000000" w:themeColor="text1"/>
              </w:rPr>
            </w:pPr>
          </w:p>
          <w:p w14:paraId="4B4FA59B" w14:textId="77777777" w:rsidR="0065461B" w:rsidRPr="00A76BDF" w:rsidRDefault="0065461B" w:rsidP="0065461B">
            <w:pPr>
              <w:pStyle w:val="NoSpacing"/>
              <w:rPr>
                <w:rFonts w:cs="Arial"/>
                <w:color w:val="000000" w:themeColor="text1"/>
              </w:rPr>
            </w:pPr>
            <w:r w:rsidRPr="00A76BDF">
              <w:rPr>
                <w:rFonts w:cs="Arial"/>
                <w:color w:val="000000" w:themeColor="text1"/>
              </w:rPr>
              <w:t>Below grade level who achieved 150% growth:</w:t>
            </w:r>
          </w:p>
          <w:p w14:paraId="4990FEA2" w14:textId="77777777" w:rsidR="0065461B" w:rsidRPr="00A76BDF" w:rsidRDefault="0065461B" w:rsidP="0065461B">
            <w:pPr>
              <w:pStyle w:val="NoSpacing"/>
              <w:rPr>
                <w:rFonts w:cs="Arial"/>
                <w:color w:val="000000" w:themeColor="text1"/>
              </w:rPr>
            </w:pPr>
          </w:p>
          <w:p w14:paraId="5A8556BB" w14:textId="77777777" w:rsidR="0065461B" w:rsidRPr="00A76BDF" w:rsidRDefault="0065461B" w:rsidP="0065461B">
            <w:pPr>
              <w:pStyle w:val="NoSpacing"/>
              <w:rPr>
                <w:rFonts w:cs="Arial"/>
                <w:color w:val="000000" w:themeColor="text1"/>
              </w:rPr>
            </w:pPr>
            <w:r w:rsidRPr="00A76BDF">
              <w:rPr>
                <w:rFonts w:cs="Arial"/>
                <w:color w:val="000000" w:themeColor="text1"/>
              </w:rPr>
              <w:t>Math: 98%</w:t>
            </w:r>
          </w:p>
          <w:p w14:paraId="485D2185" w14:textId="77777777" w:rsidR="0065461B" w:rsidRPr="00A76BDF" w:rsidRDefault="0065461B" w:rsidP="0065461B">
            <w:pPr>
              <w:pStyle w:val="NoSpacing"/>
              <w:rPr>
                <w:rFonts w:cs="Arial"/>
                <w:color w:val="000000" w:themeColor="text1"/>
              </w:rPr>
            </w:pPr>
            <w:r w:rsidRPr="00A76BDF">
              <w:rPr>
                <w:rFonts w:cs="Arial"/>
                <w:color w:val="000000" w:themeColor="text1"/>
              </w:rPr>
              <w:t>Reading:  73%</w:t>
            </w:r>
          </w:p>
        </w:tc>
      </w:tr>
      <w:tr w:rsidR="00317BA9" w14:paraId="63FAFEB4" w14:textId="77777777" w:rsidTr="00317BA9">
        <w:tc>
          <w:tcPr>
            <w:tcW w:w="3708" w:type="dxa"/>
          </w:tcPr>
          <w:p w14:paraId="0466C9DF" w14:textId="77777777" w:rsidR="00317BA9" w:rsidRPr="00317BA9" w:rsidRDefault="00317BA9" w:rsidP="00317BA9">
            <w:pPr>
              <w:pStyle w:val="NoSpacing"/>
              <w:rPr>
                <w:b/>
              </w:rPr>
            </w:pPr>
            <w:r w:rsidRPr="007E506F">
              <w:rPr>
                <w:b/>
              </w:rPr>
              <w:lastRenderedPageBreak/>
              <w:t>All Students Graduate</w:t>
            </w:r>
          </w:p>
        </w:tc>
        <w:tc>
          <w:tcPr>
            <w:tcW w:w="3156" w:type="dxa"/>
          </w:tcPr>
          <w:p w14:paraId="765B2A9A" w14:textId="77777777" w:rsidR="00317BA9" w:rsidRPr="00A76BDF" w:rsidRDefault="00436D86" w:rsidP="00F10186">
            <w:pPr>
              <w:pStyle w:val="NoSpacing"/>
              <w:spacing w:after="360"/>
              <w:rPr>
                <w:rFonts w:cs="Arial"/>
                <w:color w:val="000000" w:themeColor="text1"/>
              </w:rPr>
            </w:pPr>
            <w:r w:rsidRPr="00A76BDF">
              <w:rPr>
                <w:rFonts w:cs="Arial"/>
                <w:color w:val="000000" w:themeColor="text1"/>
              </w:rPr>
              <w:t>Sejong Academy students will have a foundation in the core academics subjects as well as Korean language.  They will be intercultural communicators and language learners who are ready to engage in the global society.</w:t>
            </w:r>
          </w:p>
        </w:tc>
        <w:tc>
          <w:tcPr>
            <w:tcW w:w="3432" w:type="dxa"/>
          </w:tcPr>
          <w:p w14:paraId="227E57CC" w14:textId="77777777" w:rsidR="00317BA9" w:rsidRPr="00A76BDF" w:rsidRDefault="00436D86" w:rsidP="001045D5">
            <w:pPr>
              <w:rPr>
                <w:rFonts w:cs="Arial"/>
                <w:color w:val="000000" w:themeColor="text1"/>
              </w:rPr>
            </w:pPr>
            <w:r w:rsidRPr="00A76BDF">
              <w:rPr>
                <w:rFonts w:cs="Arial"/>
                <w:color w:val="000000" w:themeColor="text1"/>
              </w:rPr>
              <w:t>Sejong Academy hosted and prepared a Korean Thanksgiving Festival, Lunar New Year Festival and a multi-cultural Talent Show and Carnival to enco</w:t>
            </w:r>
            <w:r w:rsidR="008C1617">
              <w:rPr>
                <w:rFonts w:cs="Arial"/>
                <w:color w:val="000000" w:themeColor="text1"/>
              </w:rPr>
              <w:t>urage students to build community through</w:t>
            </w:r>
            <w:r w:rsidRPr="00A76BDF">
              <w:rPr>
                <w:rFonts w:cs="Arial"/>
                <w:color w:val="000000" w:themeColor="text1"/>
              </w:rPr>
              <w:t xml:space="preserve"> Korean </w:t>
            </w:r>
            <w:r w:rsidR="008C1617">
              <w:rPr>
                <w:rFonts w:cs="Arial"/>
                <w:color w:val="000000" w:themeColor="text1"/>
              </w:rPr>
              <w:t xml:space="preserve">cultures </w:t>
            </w:r>
            <w:r w:rsidRPr="00A76BDF">
              <w:rPr>
                <w:rFonts w:cs="Arial"/>
                <w:color w:val="000000" w:themeColor="text1"/>
              </w:rPr>
              <w:t>as well as across cultures.</w:t>
            </w:r>
          </w:p>
        </w:tc>
      </w:tr>
    </w:tbl>
    <w:p w14:paraId="2F0A382D" w14:textId="77777777" w:rsidR="00897BC8" w:rsidRDefault="00436D86" w:rsidP="00897BC8">
      <w:pPr>
        <w:pStyle w:val="Heading2"/>
        <w:spacing w:before="360" w:after="0"/>
      </w:pPr>
      <w:r>
        <w:t>Se</w:t>
      </w:r>
      <w:r w:rsidR="00897BC8">
        <w:t>I</w:t>
      </w:r>
      <w:r w:rsidR="00A76BDF">
        <w:t>f-I</w:t>
      </w:r>
      <w:r w:rsidR="00897BC8">
        <w:t>dentified Needs Based on Data</w:t>
      </w:r>
    </w:p>
    <w:p w14:paraId="3619E8B2" w14:textId="77777777" w:rsidR="00897BC8" w:rsidRPr="007E506F" w:rsidRDefault="00897BC8" w:rsidP="00897BC8">
      <w:pPr>
        <w:pStyle w:val="NoSpacing"/>
        <w:spacing w:after="240"/>
        <w:rPr>
          <w:sz w:val="20"/>
          <w:szCs w:val="20"/>
        </w:rPr>
      </w:pPr>
      <w:r>
        <w:rPr>
          <w:sz w:val="20"/>
          <w:szCs w:val="20"/>
        </w:rPr>
        <w:t>[Note: Data that was</w:t>
      </w:r>
      <w:r w:rsidRPr="007E506F">
        <w:rPr>
          <w:sz w:val="20"/>
          <w:szCs w:val="20"/>
        </w:rPr>
        <w:t xml:space="preserve"> reviewed to determine needs may include state-level accountability tests, such as Minnesota Comprehensive Assessments (MCAs) and/or local-level data, </w:t>
      </w:r>
      <w:r w:rsidR="00EF40D0">
        <w:rPr>
          <w:sz w:val="20"/>
          <w:szCs w:val="20"/>
        </w:rPr>
        <w:t>such as local assessments, attendance, graduation, mobility, remedial course-taking rates, child poverty, etc.</w:t>
      </w:r>
      <w:r w:rsidR="00EF40D0" w:rsidRPr="007E506F">
        <w:rPr>
          <w:sz w:val="20"/>
          <w:szCs w:val="20"/>
        </w:rPr>
        <w:t>]</w:t>
      </w:r>
    </w:p>
    <w:p w14:paraId="1B00C00B" w14:textId="77777777" w:rsidR="007D3F4C" w:rsidRDefault="00897BC8" w:rsidP="00897BC8">
      <w:pPr>
        <w:pStyle w:val="List"/>
        <w:numPr>
          <w:ilvl w:val="0"/>
          <w:numId w:val="23"/>
        </w:numPr>
        <w:spacing w:after="120"/>
        <w:rPr>
          <w:i/>
          <w:color w:val="808080" w:themeColor="background1" w:themeShade="80"/>
        </w:rPr>
      </w:pPr>
      <w:r w:rsidRPr="007E506F">
        <w:rPr>
          <w:i/>
          <w:color w:val="808080" w:themeColor="background1" w:themeShade="80"/>
        </w:rPr>
        <w:t>List and describe the district’s</w:t>
      </w:r>
      <w:r>
        <w:rPr>
          <w:i/>
          <w:color w:val="808080" w:themeColor="background1" w:themeShade="80"/>
        </w:rPr>
        <w:t xml:space="preserve"> </w:t>
      </w:r>
      <w:r w:rsidR="00514B77">
        <w:rPr>
          <w:i/>
          <w:color w:val="808080" w:themeColor="background1" w:themeShade="80"/>
        </w:rPr>
        <w:t>needs that were identified at the start of the</w:t>
      </w:r>
      <w:r w:rsidR="00633737">
        <w:rPr>
          <w:i/>
          <w:color w:val="808080" w:themeColor="background1" w:themeShade="80"/>
        </w:rPr>
        <w:t xml:space="preserve"> 2014-2015 school year</w:t>
      </w:r>
      <w:r w:rsidRPr="007E506F">
        <w:rPr>
          <w:i/>
          <w:color w:val="808080" w:themeColor="background1" w:themeShade="80"/>
        </w:rPr>
        <w:t>, and the data</w:t>
      </w:r>
      <w:r>
        <w:rPr>
          <w:i/>
          <w:color w:val="808080" w:themeColor="background1" w:themeShade="80"/>
        </w:rPr>
        <w:t xml:space="preserve"> </w:t>
      </w:r>
      <w:r w:rsidR="000F2761">
        <w:rPr>
          <w:i/>
          <w:color w:val="808080" w:themeColor="background1" w:themeShade="80"/>
        </w:rPr>
        <w:t>the needs were</w:t>
      </w:r>
      <w:r>
        <w:rPr>
          <w:i/>
          <w:color w:val="808080" w:themeColor="background1" w:themeShade="80"/>
        </w:rPr>
        <w:t xml:space="preserve"> based upon.</w:t>
      </w:r>
    </w:p>
    <w:p w14:paraId="06D43580" w14:textId="77777777" w:rsidR="00A76BDF" w:rsidRPr="00A76BDF" w:rsidRDefault="00A76BDF" w:rsidP="00A76BDF">
      <w:pPr>
        <w:pStyle w:val="List"/>
        <w:spacing w:after="120"/>
        <w:ind w:left="720" w:firstLine="0"/>
        <w:rPr>
          <w:color w:val="000000" w:themeColor="text1"/>
        </w:rPr>
      </w:pPr>
      <w:r w:rsidRPr="00A76BDF">
        <w:rPr>
          <w:color w:val="000000" w:themeColor="text1"/>
        </w:rPr>
        <w:lastRenderedPageBreak/>
        <w:t xml:space="preserve">We used our first round of MAP testing in December to identify needs.  </w:t>
      </w:r>
    </w:p>
    <w:p w14:paraId="16151844" w14:textId="77777777" w:rsidR="00A76BDF" w:rsidRPr="002E677A" w:rsidRDefault="00A76BDF" w:rsidP="00A76BDF">
      <w:pPr>
        <w:jc w:val="center"/>
        <w:rPr>
          <w:rFonts w:ascii="Times New Roman" w:hAnsi="Times New Roman" w:cs="Times New Roman"/>
          <w:b/>
          <w:sz w:val="24"/>
          <w:szCs w:val="24"/>
        </w:rPr>
      </w:pPr>
      <w:r w:rsidRPr="002E677A">
        <w:rPr>
          <w:rFonts w:ascii="Times New Roman" w:hAnsi="Times New Roman" w:cs="Times New Roman"/>
          <w:b/>
          <w:sz w:val="24"/>
          <w:szCs w:val="24"/>
        </w:rPr>
        <w:t>Sejong Academy NWEA Winter Testing Session</w:t>
      </w:r>
    </w:p>
    <w:p w14:paraId="425094FC" w14:textId="77777777" w:rsidR="00A76BDF" w:rsidRDefault="00A76BDF" w:rsidP="00A76BDF">
      <w:pPr>
        <w:rPr>
          <w:rFonts w:ascii="Times New Roman" w:hAnsi="Times New Roman" w:cs="Times New Roman"/>
          <w:sz w:val="24"/>
          <w:szCs w:val="24"/>
        </w:rPr>
      </w:pPr>
      <w:r>
        <w:rPr>
          <w:rFonts w:ascii="Times New Roman" w:hAnsi="Times New Roman" w:cs="Times New Roman"/>
          <w:sz w:val="24"/>
          <w:szCs w:val="24"/>
        </w:rPr>
        <w:t>This is a grade level comparison based on the 2011 Reading and Math Norms published by NWEA.</w:t>
      </w:r>
    </w:p>
    <w:tbl>
      <w:tblPr>
        <w:tblStyle w:val="TableGrid"/>
        <w:tblW w:w="0" w:type="auto"/>
        <w:tblLook w:val="04A0" w:firstRow="1" w:lastRow="0" w:firstColumn="1" w:lastColumn="0" w:noHBand="0" w:noVBand="1"/>
      </w:tblPr>
      <w:tblGrid>
        <w:gridCol w:w="3055"/>
        <w:gridCol w:w="6295"/>
      </w:tblGrid>
      <w:tr w:rsidR="00A76BDF" w14:paraId="41102509" w14:textId="77777777" w:rsidTr="00A76BDF">
        <w:tc>
          <w:tcPr>
            <w:tcW w:w="3055" w:type="dxa"/>
            <w:shd w:val="clear" w:color="auto" w:fill="F2F2F2" w:themeFill="background1" w:themeFillShade="F2"/>
          </w:tcPr>
          <w:p w14:paraId="28706ECD" w14:textId="77777777" w:rsidR="00A76BDF" w:rsidRPr="000013CB" w:rsidRDefault="00A76BDF" w:rsidP="00051A0A">
            <w:pPr>
              <w:jc w:val="center"/>
              <w:rPr>
                <w:rFonts w:ascii="Times New Roman" w:hAnsi="Times New Roman" w:cs="Times New Roman"/>
                <w:b/>
                <w:sz w:val="24"/>
                <w:szCs w:val="24"/>
              </w:rPr>
            </w:pPr>
            <w:r w:rsidRPr="000013CB">
              <w:rPr>
                <w:rFonts w:ascii="Times New Roman" w:hAnsi="Times New Roman" w:cs="Times New Roman"/>
                <w:b/>
                <w:sz w:val="24"/>
                <w:szCs w:val="24"/>
              </w:rPr>
              <w:t>Grade Level</w:t>
            </w:r>
            <w:r>
              <w:rPr>
                <w:rFonts w:ascii="Times New Roman" w:hAnsi="Times New Roman" w:cs="Times New Roman"/>
                <w:b/>
                <w:sz w:val="24"/>
                <w:szCs w:val="24"/>
              </w:rPr>
              <w:t>/Number of Students</w:t>
            </w:r>
          </w:p>
        </w:tc>
        <w:tc>
          <w:tcPr>
            <w:tcW w:w="6295" w:type="dxa"/>
            <w:shd w:val="clear" w:color="auto" w:fill="F2F2F2" w:themeFill="background1" w:themeFillShade="F2"/>
          </w:tcPr>
          <w:p w14:paraId="7C576D7C" w14:textId="77777777" w:rsidR="00A76BDF" w:rsidRPr="000013CB" w:rsidRDefault="00A76BDF" w:rsidP="00051A0A">
            <w:pPr>
              <w:jc w:val="center"/>
              <w:rPr>
                <w:rFonts w:ascii="Times New Roman" w:hAnsi="Times New Roman" w:cs="Times New Roman"/>
                <w:b/>
                <w:sz w:val="24"/>
                <w:szCs w:val="24"/>
              </w:rPr>
            </w:pPr>
            <w:r w:rsidRPr="000013CB">
              <w:rPr>
                <w:rFonts w:ascii="Times New Roman" w:hAnsi="Times New Roman" w:cs="Times New Roman"/>
                <w:b/>
                <w:sz w:val="24"/>
                <w:szCs w:val="24"/>
              </w:rPr>
              <w:t>Percentage above or below grade level</w:t>
            </w:r>
          </w:p>
        </w:tc>
      </w:tr>
      <w:tr w:rsidR="00A76BDF" w14:paraId="4F24F692" w14:textId="77777777" w:rsidTr="00051A0A">
        <w:tc>
          <w:tcPr>
            <w:tcW w:w="3055" w:type="dxa"/>
          </w:tcPr>
          <w:p w14:paraId="23698ED5"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K – 7 Students</w:t>
            </w:r>
          </w:p>
        </w:tc>
        <w:tc>
          <w:tcPr>
            <w:tcW w:w="6295" w:type="dxa"/>
          </w:tcPr>
          <w:p w14:paraId="23993C93" w14:textId="77777777" w:rsidR="00A76BDF" w:rsidRPr="007D32DF" w:rsidRDefault="00A76BDF" w:rsidP="00051A0A">
            <w:pPr>
              <w:rPr>
                <w:rFonts w:ascii="Times New Roman" w:hAnsi="Times New Roman" w:cs="Times New Roman"/>
                <w:b/>
                <w:sz w:val="24"/>
                <w:szCs w:val="24"/>
              </w:rPr>
            </w:pPr>
            <w:r w:rsidRPr="007D32DF">
              <w:rPr>
                <w:rFonts w:ascii="Times New Roman" w:hAnsi="Times New Roman" w:cs="Times New Roman"/>
                <w:b/>
                <w:sz w:val="24"/>
                <w:szCs w:val="24"/>
              </w:rPr>
              <w:t>Reading</w:t>
            </w:r>
          </w:p>
          <w:p w14:paraId="48B599E9"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1/14% – Grade Level (or Above)</w:t>
            </w:r>
          </w:p>
          <w:p w14:paraId="79DE568F"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6/86% - Below Grade Level</w:t>
            </w:r>
          </w:p>
          <w:p w14:paraId="61ABA0C3" w14:textId="77777777" w:rsidR="00A76BDF" w:rsidRDefault="00A76BDF" w:rsidP="00051A0A">
            <w:pPr>
              <w:rPr>
                <w:rFonts w:ascii="Times New Roman" w:hAnsi="Times New Roman" w:cs="Times New Roman"/>
                <w:sz w:val="24"/>
                <w:szCs w:val="24"/>
              </w:rPr>
            </w:pPr>
          </w:p>
          <w:p w14:paraId="10433993" w14:textId="77777777" w:rsidR="00A76BDF" w:rsidRPr="007D32DF" w:rsidRDefault="00A76BDF" w:rsidP="00051A0A">
            <w:pPr>
              <w:rPr>
                <w:rFonts w:ascii="Times New Roman" w:hAnsi="Times New Roman" w:cs="Times New Roman"/>
                <w:b/>
                <w:sz w:val="24"/>
                <w:szCs w:val="24"/>
              </w:rPr>
            </w:pPr>
            <w:r w:rsidRPr="007D32DF">
              <w:rPr>
                <w:rFonts w:ascii="Times New Roman" w:hAnsi="Times New Roman" w:cs="Times New Roman"/>
                <w:b/>
                <w:sz w:val="24"/>
                <w:szCs w:val="24"/>
              </w:rPr>
              <w:t>Math</w:t>
            </w:r>
          </w:p>
          <w:p w14:paraId="7E0482FB"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2/28% - Grade Level</w:t>
            </w:r>
          </w:p>
          <w:p w14:paraId="0E21DB6F"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5/72% - Below Grade Level</w:t>
            </w:r>
          </w:p>
          <w:p w14:paraId="43EBFBBA" w14:textId="77777777" w:rsidR="00A76BDF" w:rsidRDefault="00A76BDF" w:rsidP="00051A0A">
            <w:pPr>
              <w:rPr>
                <w:rFonts w:ascii="Times New Roman" w:hAnsi="Times New Roman" w:cs="Times New Roman"/>
                <w:sz w:val="24"/>
                <w:szCs w:val="24"/>
              </w:rPr>
            </w:pPr>
          </w:p>
        </w:tc>
      </w:tr>
      <w:tr w:rsidR="00A76BDF" w14:paraId="59A2FF10" w14:textId="77777777" w:rsidTr="00051A0A">
        <w:tc>
          <w:tcPr>
            <w:tcW w:w="3055" w:type="dxa"/>
          </w:tcPr>
          <w:p w14:paraId="58141D5F"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1 – 10 Students</w:t>
            </w:r>
          </w:p>
        </w:tc>
        <w:tc>
          <w:tcPr>
            <w:tcW w:w="6295" w:type="dxa"/>
          </w:tcPr>
          <w:p w14:paraId="16B7B9A7" w14:textId="77777777" w:rsidR="00A76BDF" w:rsidRPr="002E677A" w:rsidRDefault="00A76BDF" w:rsidP="00051A0A">
            <w:pPr>
              <w:rPr>
                <w:rFonts w:ascii="Times New Roman" w:hAnsi="Times New Roman" w:cs="Times New Roman"/>
                <w:b/>
                <w:sz w:val="24"/>
                <w:szCs w:val="24"/>
              </w:rPr>
            </w:pPr>
            <w:r w:rsidRPr="002E677A">
              <w:rPr>
                <w:rFonts w:ascii="Times New Roman" w:hAnsi="Times New Roman" w:cs="Times New Roman"/>
                <w:b/>
                <w:sz w:val="24"/>
                <w:szCs w:val="24"/>
              </w:rPr>
              <w:t>Reading</w:t>
            </w:r>
          </w:p>
          <w:p w14:paraId="215A03FA"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0/0% - Grade Level</w:t>
            </w:r>
          </w:p>
          <w:p w14:paraId="15574C2A"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10/100% - Below Grade Level</w:t>
            </w:r>
          </w:p>
          <w:p w14:paraId="51119F87" w14:textId="77777777" w:rsidR="00A76BDF" w:rsidRDefault="00A76BDF" w:rsidP="00051A0A">
            <w:pPr>
              <w:rPr>
                <w:rFonts w:ascii="Times New Roman" w:hAnsi="Times New Roman" w:cs="Times New Roman"/>
                <w:sz w:val="24"/>
                <w:szCs w:val="24"/>
              </w:rPr>
            </w:pPr>
          </w:p>
          <w:p w14:paraId="2C21E7B2" w14:textId="77777777" w:rsidR="00A76BDF" w:rsidRPr="002E677A" w:rsidRDefault="00A76BDF" w:rsidP="00051A0A">
            <w:pPr>
              <w:rPr>
                <w:rFonts w:ascii="Times New Roman" w:hAnsi="Times New Roman" w:cs="Times New Roman"/>
                <w:b/>
                <w:sz w:val="24"/>
                <w:szCs w:val="24"/>
              </w:rPr>
            </w:pPr>
            <w:r w:rsidRPr="002E677A">
              <w:rPr>
                <w:rFonts w:ascii="Times New Roman" w:hAnsi="Times New Roman" w:cs="Times New Roman"/>
                <w:b/>
                <w:sz w:val="24"/>
                <w:szCs w:val="24"/>
              </w:rPr>
              <w:t>Math</w:t>
            </w:r>
          </w:p>
          <w:p w14:paraId="2BC24F7D"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1/10% - Grade Level</w:t>
            </w:r>
          </w:p>
          <w:p w14:paraId="58702E3F"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9/90% - Below Grade Level</w:t>
            </w:r>
          </w:p>
          <w:p w14:paraId="62AB1DCC" w14:textId="77777777" w:rsidR="00A76BDF" w:rsidRDefault="00A76BDF" w:rsidP="00051A0A">
            <w:pPr>
              <w:rPr>
                <w:rFonts w:ascii="Times New Roman" w:hAnsi="Times New Roman" w:cs="Times New Roman"/>
                <w:sz w:val="24"/>
                <w:szCs w:val="24"/>
              </w:rPr>
            </w:pPr>
          </w:p>
        </w:tc>
      </w:tr>
      <w:tr w:rsidR="00A76BDF" w14:paraId="3124E126" w14:textId="77777777" w:rsidTr="00051A0A">
        <w:tc>
          <w:tcPr>
            <w:tcW w:w="3055" w:type="dxa"/>
          </w:tcPr>
          <w:p w14:paraId="5D1FEE7D"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2 – 9 Students</w:t>
            </w:r>
          </w:p>
        </w:tc>
        <w:tc>
          <w:tcPr>
            <w:tcW w:w="6295" w:type="dxa"/>
          </w:tcPr>
          <w:p w14:paraId="2D0D1DE8" w14:textId="77777777" w:rsidR="00A76BDF" w:rsidRPr="002E677A" w:rsidRDefault="00A76BDF" w:rsidP="00051A0A">
            <w:pPr>
              <w:rPr>
                <w:rFonts w:ascii="Times New Roman" w:hAnsi="Times New Roman" w:cs="Times New Roman"/>
                <w:b/>
                <w:sz w:val="24"/>
                <w:szCs w:val="24"/>
              </w:rPr>
            </w:pPr>
            <w:r w:rsidRPr="002E677A">
              <w:rPr>
                <w:rFonts w:ascii="Times New Roman" w:hAnsi="Times New Roman" w:cs="Times New Roman"/>
                <w:b/>
                <w:sz w:val="24"/>
                <w:szCs w:val="24"/>
              </w:rPr>
              <w:t>Reading</w:t>
            </w:r>
          </w:p>
          <w:p w14:paraId="6B4127B8"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4/44% - Grade Level</w:t>
            </w:r>
          </w:p>
          <w:p w14:paraId="3D9DA0E6"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5/56% - Below Grade Level</w:t>
            </w:r>
          </w:p>
          <w:p w14:paraId="6332767D" w14:textId="77777777" w:rsidR="00A76BDF" w:rsidRDefault="00A76BDF" w:rsidP="00051A0A">
            <w:pPr>
              <w:rPr>
                <w:rFonts w:ascii="Times New Roman" w:hAnsi="Times New Roman" w:cs="Times New Roman"/>
                <w:sz w:val="24"/>
                <w:szCs w:val="24"/>
              </w:rPr>
            </w:pPr>
          </w:p>
          <w:p w14:paraId="21F87892" w14:textId="77777777" w:rsidR="00A76BDF" w:rsidRPr="00633C41" w:rsidRDefault="00A76BDF" w:rsidP="00051A0A">
            <w:pPr>
              <w:rPr>
                <w:rFonts w:ascii="Times New Roman" w:hAnsi="Times New Roman" w:cs="Times New Roman"/>
                <w:b/>
                <w:sz w:val="24"/>
                <w:szCs w:val="24"/>
              </w:rPr>
            </w:pPr>
            <w:r w:rsidRPr="00633C41">
              <w:rPr>
                <w:rFonts w:ascii="Times New Roman" w:hAnsi="Times New Roman" w:cs="Times New Roman"/>
                <w:b/>
                <w:sz w:val="24"/>
                <w:szCs w:val="24"/>
              </w:rPr>
              <w:t>Math</w:t>
            </w:r>
          </w:p>
          <w:p w14:paraId="543646BD"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5/56% - Grade Level</w:t>
            </w:r>
          </w:p>
          <w:p w14:paraId="4144A85C"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4/44% - Below Grade Level</w:t>
            </w:r>
          </w:p>
          <w:p w14:paraId="01FBBA40" w14:textId="77777777" w:rsidR="00A76BDF" w:rsidRDefault="00A76BDF" w:rsidP="00051A0A">
            <w:pPr>
              <w:rPr>
                <w:rFonts w:ascii="Times New Roman" w:hAnsi="Times New Roman" w:cs="Times New Roman"/>
                <w:sz w:val="24"/>
                <w:szCs w:val="24"/>
              </w:rPr>
            </w:pPr>
          </w:p>
        </w:tc>
      </w:tr>
      <w:tr w:rsidR="00A76BDF" w14:paraId="12032559" w14:textId="77777777" w:rsidTr="00051A0A">
        <w:tc>
          <w:tcPr>
            <w:tcW w:w="3055" w:type="dxa"/>
          </w:tcPr>
          <w:p w14:paraId="6EDE359D"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3 – 11 Students</w:t>
            </w:r>
          </w:p>
        </w:tc>
        <w:tc>
          <w:tcPr>
            <w:tcW w:w="6295" w:type="dxa"/>
          </w:tcPr>
          <w:p w14:paraId="5DBBAB77" w14:textId="77777777" w:rsidR="00A76BDF" w:rsidRPr="00633C41" w:rsidRDefault="00A76BDF" w:rsidP="00051A0A">
            <w:pPr>
              <w:rPr>
                <w:rFonts w:ascii="Times New Roman" w:hAnsi="Times New Roman" w:cs="Times New Roman"/>
                <w:b/>
                <w:sz w:val="24"/>
                <w:szCs w:val="24"/>
              </w:rPr>
            </w:pPr>
            <w:r w:rsidRPr="00633C41">
              <w:rPr>
                <w:rFonts w:ascii="Times New Roman" w:hAnsi="Times New Roman" w:cs="Times New Roman"/>
                <w:b/>
                <w:sz w:val="24"/>
                <w:szCs w:val="24"/>
              </w:rPr>
              <w:t>Reading</w:t>
            </w:r>
          </w:p>
          <w:p w14:paraId="03ADCF92"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3/27% - Grade Level</w:t>
            </w:r>
          </w:p>
          <w:p w14:paraId="3E00D7A0"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8/73% - Below Grade Level</w:t>
            </w:r>
          </w:p>
          <w:p w14:paraId="415CE8D2" w14:textId="77777777" w:rsidR="00A76BDF" w:rsidRDefault="00A76BDF" w:rsidP="00051A0A">
            <w:pPr>
              <w:rPr>
                <w:rFonts w:ascii="Times New Roman" w:hAnsi="Times New Roman" w:cs="Times New Roman"/>
                <w:sz w:val="24"/>
                <w:szCs w:val="24"/>
              </w:rPr>
            </w:pPr>
          </w:p>
          <w:p w14:paraId="245C9602" w14:textId="77777777" w:rsidR="00A76BDF" w:rsidRPr="00633C41" w:rsidRDefault="00A76BDF" w:rsidP="00051A0A">
            <w:pPr>
              <w:rPr>
                <w:rFonts w:ascii="Times New Roman" w:hAnsi="Times New Roman" w:cs="Times New Roman"/>
                <w:b/>
                <w:sz w:val="24"/>
                <w:szCs w:val="24"/>
              </w:rPr>
            </w:pPr>
            <w:r w:rsidRPr="00633C41">
              <w:rPr>
                <w:rFonts w:ascii="Times New Roman" w:hAnsi="Times New Roman" w:cs="Times New Roman"/>
                <w:b/>
                <w:sz w:val="24"/>
                <w:szCs w:val="24"/>
              </w:rPr>
              <w:t>Math</w:t>
            </w:r>
          </w:p>
          <w:p w14:paraId="0EF39CC7"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2/18% - Grade Level</w:t>
            </w:r>
          </w:p>
          <w:p w14:paraId="32D22DCC"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9/82% - Below Grade Level</w:t>
            </w:r>
          </w:p>
          <w:p w14:paraId="4433CB18"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 xml:space="preserve"> </w:t>
            </w:r>
          </w:p>
        </w:tc>
      </w:tr>
      <w:tr w:rsidR="00A76BDF" w14:paraId="7833AF8F" w14:textId="77777777" w:rsidTr="00051A0A">
        <w:tc>
          <w:tcPr>
            <w:tcW w:w="3055" w:type="dxa"/>
          </w:tcPr>
          <w:p w14:paraId="1DBC81B4"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4 – 11 Students</w:t>
            </w:r>
          </w:p>
        </w:tc>
        <w:tc>
          <w:tcPr>
            <w:tcW w:w="6295" w:type="dxa"/>
          </w:tcPr>
          <w:p w14:paraId="63C89CF9" w14:textId="77777777" w:rsidR="00A76BDF" w:rsidRPr="00633C41" w:rsidRDefault="00A76BDF" w:rsidP="00051A0A">
            <w:pPr>
              <w:rPr>
                <w:rFonts w:ascii="Times New Roman" w:hAnsi="Times New Roman" w:cs="Times New Roman"/>
                <w:b/>
                <w:sz w:val="24"/>
                <w:szCs w:val="24"/>
              </w:rPr>
            </w:pPr>
            <w:r w:rsidRPr="00633C41">
              <w:rPr>
                <w:rFonts w:ascii="Times New Roman" w:hAnsi="Times New Roman" w:cs="Times New Roman"/>
                <w:b/>
                <w:sz w:val="24"/>
                <w:szCs w:val="24"/>
              </w:rPr>
              <w:t>Reading</w:t>
            </w:r>
          </w:p>
          <w:p w14:paraId="223ADA58"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 xml:space="preserve">4/36% - Grade Level </w:t>
            </w:r>
          </w:p>
          <w:p w14:paraId="46D72C4C"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7/64% - Below Grade Level</w:t>
            </w:r>
          </w:p>
          <w:p w14:paraId="47CB40A4" w14:textId="77777777" w:rsidR="00A76BDF" w:rsidRDefault="00A76BDF" w:rsidP="00051A0A">
            <w:pPr>
              <w:rPr>
                <w:rFonts w:ascii="Times New Roman" w:hAnsi="Times New Roman" w:cs="Times New Roman"/>
                <w:sz w:val="24"/>
                <w:szCs w:val="24"/>
              </w:rPr>
            </w:pPr>
          </w:p>
          <w:p w14:paraId="5B7BB608" w14:textId="77777777" w:rsidR="00A76BDF" w:rsidRPr="00633C41" w:rsidRDefault="00A76BDF" w:rsidP="00051A0A">
            <w:pPr>
              <w:rPr>
                <w:rFonts w:ascii="Times New Roman" w:hAnsi="Times New Roman" w:cs="Times New Roman"/>
                <w:b/>
                <w:sz w:val="24"/>
                <w:szCs w:val="24"/>
              </w:rPr>
            </w:pPr>
            <w:r w:rsidRPr="00633C41">
              <w:rPr>
                <w:rFonts w:ascii="Times New Roman" w:hAnsi="Times New Roman" w:cs="Times New Roman"/>
                <w:b/>
                <w:sz w:val="24"/>
                <w:szCs w:val="24"/>
              </w:rPr>
              <w:t>Math</w:t>
            </w:r>
          </w:p>
          <w:p w14:paraId="340344AC"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 xml:space="preserve">4/36% - Grade Level </w:t>
            </w:r>
          </w:p>
          <w:p w14:paraId="7C6E464F"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7/64% - Below Grade Level</w:t>
            </w:r>
          </w:p>
          <w:p w14:paraId="2D8C3E02" w14:textId="77777777" w:rsidR="00A76BDF" w:rsidRDefault="00A76BDF" w:rsidP="00051A0A">
            <w:pPr>
              <w:rPr>
                <w:rFonts w:ascii="Times New Roman" w:hAnsi="Times New Roman" w:cs="Times New Roman"/>
                <w:sz w:val="24"/>
                <w:szCs w:val="24"/>
              </w:rPr>
            </w:pPr>
          </w:p>
        </w:tc>
      </w:tr>
      <w:tr w:rsidR="00A76BDF" w14:paraId="6F8FD5D0" w14:textId="77777777" w:rsidTr="00051A0A">
        <w:tc>
          <w:tcPr>
            <w:tcW w:w="3055" w:type="dxa"/>
          </w:tcPr>
          <w:p w14:paraId="71E3032C"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lastRenderedPageBreak/>
              <w:t>5 – 6 Students</w:t>
            </w:r>
          </w:p>
        </w:tc>
        <w:tc>
          <w:tcPr>
            <w:tcW w:w="6295" w:type="dxa"/>
          </w:tcPr>
          <w:p w14:paraId="2CFDA380" w14:textId="77777777" w:rsidR="00A76BDF" w:rsidRPr="00AD4060" w:rsidRDefault="00A76BDF" w:rsidP="00051A0A">
            <w:pPr>
              <w:rPr>
                <w:rFonts w:ascii="Times New Roman" w:hAnsi="Times New Roman" w:cs="Times New Roman"/>
                <w:b/>
                <w:sz w:val="24"/>
                <w:szCs w:val="24"/>
              </w:rPr>
            </w:pPr>
            <w:r w:rsidRPr="00AD4060">
              <w:rPr>
                <w:rFonts w:ascii="Times New Roman" w:hAnsi="Times New Roman" w:cs="Times New Roman"/>
                <w:b/>
                <w:sz w:val="24"/>
                <w:szCs w:val="24"/>
              </w:rPr>
              <w:t>Reading</w:t>
            </w:r>
          </w:p>
          <w:p w14:paraId="19762A5D"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1/17% - Grade Level</w:t>
            </w:r>
          </w:p>
          <w:p w14:paraId="6543E27D"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5/83% - Below Grade Level</w:t>
            </w:r>
          </w:p>
          <w:p w14:paraId="7854B1CB" w14:textId="77777777" w:rsidR="00A76BDF" w:rsidRDefault="00A76BDF" w:rsidP="00051A0A">
            <w:pPr>
              <w:rPr>
                <w:rFonts w:ascii="Times New Roman" w:hAnsi="Times New Roman" w:cs="Times New Roman"/>
                <w:sz w:val="24"/>
                <w:szCs w:val="24"/>
              </w:rPr>
            </w:pPr>
          </w:p>
          <w:p w14:paraId="6435B786" w14:textId="77777777" w:rsidR="00A76BDF" w:rsidRPr="00AD4060" w:rsidRDefault="00A76BDF" w:rsidP="00051A0A">
            <w:pPr>
              <w:rPr>
                <w:rFonts w:ascii="Times New Roman" w:hAnsi="Times New Roman" w:cs="Times New Roman"/>
                <w:b/>
                <w:sz w:val="24"/>
                <w:szCs w:val="24"/>
              </w:rPr>
            </w:pPr>
            <w:r w:rsidRPr="00AD4060">
              <w:rPr>
                <w:rFonts w:ascii="Times New Roman" w:hAnsi="Times New Roman" w:cs="Times New Roman"/>
                <w:b/>
                <w:sz w:val="24"/>
                <w:szCs w:val="24"/>
              </w:rPr>
              <w:t>Math</w:t>
            </w:r>
          </w:p>
          <w:p w14:paraId="7BCE7667"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2/33% - Grade Level</w:t>
            </w:r>
          </w:p>
          <w:p w14:paraId="3AA14EBF"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4/67% - Below Grade Level</w:t>
            </w:r>
          </w:p>
          <w:p w14:paraId="5956BCA4" w14:textId="77777777" w:rsidR="00A76BDF" w:rsidRDefault="00A76BDF" w:rsidP="00051A0A">
            <w:pPr>
              <w:rPr>
                <w:rFonts w:ascii="Times New Roman" w:hAnsi="Times New Roman" w:cs="Times New Roman"/>
                <w:sz w:val="24"/>
                <w:szCs w:val="24"/>
              </w:rPr>
            </w:pPr>
          </w:p>
        </w:tc>
      </w:tr>
      <w:tr w:rsidR="00A76BDF" w14:paraId="1511B656" w14:textId="77777777" w:rsidTr="00051A0A">
        <w:tc>
          <w:tcPr>
            <w:tcW w:w="3055" w:type="dxa"/>
          </w:tcPr>
          <w:p w14:paraId="7C0A7E86"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6 – 9 Students</w:t>
            </w:r>
          </w:p>
        </w:tc>
        <w:tc>
          <w:tcPr>
            <w:tcW w:w="6295" w:type="dxa"/>
          </w:tcPr>
          <w:p w14:paraId="39A4E586" w14:textId="77777777" w:rsidR="00A76BDF" w:rsidRPr="00AD4060" w:rsidRDefault="00A76BDF" w:rsidP="00051A0A">
            <w:pPr>
              <w:rPr>
                <w:rFonts w:ascii="Times New Roman" w:hAnsi="Times New Roman" w:cs="Times New Roman"/>
                <w:b/>
                <w:sz w:val="24"/>
                <w:szCs w:val="24"/>
              </w:rPr>
            </w:pPr>
            <w:r w:rsidRPr="00AD4060">
              <w:rPr>
                <w:rFonts w:ascii="Times New Roman" w:hAnsi="Times New Roman" w:cs="Times New Roman"/>
                <w:b/>
                <w:sz w:val="24"/>
                <w:szCs w:val="24"/>
              </w:rPr>
              <w:t>Reading</w:t>
            </w:r>
          </w:p>
          <w:p w14:paraId="06060F7D"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4/44% - Grade Level</w:t>
            </w:r>
          </w:p>
          <w:p w14:paraId="318CDEAA"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5/54% - Below Grade Level</w:t>
            </w:r>
          </w:p>
          <w:p w14:paraId="0446F8B4" w14:textId="77777777" w:rsidR="00A76BDF" w:rsidRDefault="00A76BDF" w:rsidP="00051A0A">
            <w:pPr>
              <w:rPr>
                <w:rFonts w:ascii="Times New Roman" w:hAnsi="Times New Roman" w:cs="Times New Roman"/>
                <w:sz w:val="24"/>
                <w:szCs w:val="24"/>
              </w:rPr>
            </w:pPr>
          </w:p>
          <w:p w14:paraId="31BFB5CF" w14:textId="77777777" w:rsidR="00A76BDF" w:rsidRPr="00AD4060" w:rsidRDefault="00A76BDF" w:rsidP="00051A0A">
            <w:pPr>
              <w:rPr>
                <w:rFonts w:ascii="Times New Roman" w:hAnsi="Times New Roman" w:cs="Times New Roman"/>
                <w:b/>
                <w:sz w:val="24"/>
                <w:szCs w:val="24"/>
              </w:rPr>
            </w:pPr>
            <w:r w:rsidRPr="00AD4060">
              <w:rPr>
                <w:rFonts w:ascii="Times New Roman" w:hAnsi="Times New Roman" w:cs="Times New Roman"/>
                <w:b/>
                <w:sz w:val="24"/>
                <w:szCs w:val="24"/>
              </w:rPr>
              <w:t>Math</w:t>
            </w:r>
          </w:p>
          <w:p w14:paraId="22AE8451"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4/44% - Grade Level</w:t>
            </w:r>
          </w:p>
          <w:p w14:paraId="1C16E128"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5/54% - Below Grade Level</w:t>
            </w:r>
          </w:p>
          <w:p w14:paraId="34C88B2E" w14:textId="77777777" w:rsidR="00A76BDF" w:rsidRDefault="00A76BDF" w:rsidP="00051A0A">
            <w:pPr>
              <w:rPr>
                <w:rFonts w:ascii="Times New Roman" w:hAnsi="Times New Roman" w:cs="Times New Roman"/>
                <w:sz w:val="24"/>
                <w:szCs w:val="24"/>
              </w:rPr>
            </w:pPr>
          </w:p>
          <w:p w14:paraId="0C9040C6" w14:textId="77777777" w:rsidR="00A76BDF" w:rsidRDefault="00A76BDF" w:rsidP="00051A0A">
            <w:pPr>
              <w:rPr>
                <w:rFonts w:ascii="Times New Roman" w:hAnsi="Times New Roman" w:cs="Times New Roman"/>
                <w:sz w:val="24"/>
                <w:szCs w:val="24"/>
              </w:rPr>
            </w:pPr>
          </w:p>
        </w:tc>
      </w:tr>
      <w:tr w:rsidR="00A76BDF" w14:paraId="5BE5C8AA" w14:textId="77777777" w:rsidTr="00051A0A">
        <w:tc>
          <w:tcPr>
            <w:tcW w:w="3055" w:type="dxa"/>
          </w:tcPr>
          <w:p w14:paraId="638CC2E1"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School Wide Data and Conclusions</w:t>
            </w:r>
          </w:p>
        </w:tc>
        <w:tc>
          <w:tcPr>
            <w:tcW w:w="6295" w:type="dxa"/>
          </w:tcPr>
          <w:p w14:paraId="2A1D1013" w14:textId="77777777" w:rsidR="00A76BDF" w:rsidRDefault="00A76BDF" w:rsidP="00051A0A">
            <w:pPr>
              <w:rPr>
                <w:rFonts w:ascii="Times New Roman" w:hAnsi="Times New Roman" w:cs="Times New Roman"/>
                <w:b/>
                <w:sz w:val="24"/>
                <w:szCs w:val="24"/>
              </w:rPr>
            </w:pPr>
            <w:r>
              <w:rPr>
                <w:rFonts w:ascii="Times New Roman" w:hAnsi="Times New Roman" w:cs="Times New Roman"/>
                <w:b/>
                <w:sz w:val="24"/>
                <w:szCs w:val="24"/>
              </w:rPr>
              <w:t>Reading</w:t>
            </w:r>
          </w:p>
          <w:p w14:paraId="37FE76AE" w14:textId="77777777" w:rsidR="00A76BDF" w:rsidRDefault="00A76BDF" w:rsidP="00051A0A">
            <w:pPr>
              <w:rPr>
                <w:rFonts w:ascii="Times New Roman" w:hAnsi="Times New Roman" w:cs="Times New Roman"/>
                <w:sz w:val="24"/>
                <w:szCs w:val="24"/>
              </w:rPr>
            </w:pPr>
            <w:r>
              <w:rPr>
                <w:rFonts w:ascii="Times New Roman" w:hAnsi="Times New Roman" w:cs="Times New Roman"/>
                <w:sz w:val="24"/>
                <w:szCs w:val="24"/>
              </w:rPr>
              <w:t>26% - Grade Level</w:t>
            </w:r>
          </w:p>
          <w:p w14:paraId="381BB984" w14:textId="77777777" w:rsidR="00A76BDF" w:rsidRPr="002C42DC" w:rsidRDefault="00A76BDF" w:rsidP="00051A0A">
            <w:pPr>
              <w:rPr>
                <w:rFonts w:ascii="Times New Roman" w:hAnsi="Times New Roman" w:cs="Times New Roman"/>
                <w:b/>
                <w:sz w:val="24"/>
                <w:szCs w:val="24"/>
              </w:rPr>
            </w:pPr>
            <w:r w:rsidRPr="002C42DC">
              <w:rPr>
                <w:rFonts w:ascii="Times New Roman" w:hAnsi="Times New Roman" w:cs="Times New Roman"/>
                <w:b/>
                <w:sz w:val="24"/>
                <w:szCs w:val="24"/>
              </w:rPr>
              <w:t>Math</w:t>
            </w:r>
          </w:p>
          <w:p w14:paraId="1AA8E1A9" w14:textId="77777777" w:rsidR="00A76BDF" w:rsidRPr="00A76BDF" w:rsidRDefault="00A76BDF" w:rsidP="00A76BDF">
            <w:pPr>
              <w:rPr>
                <w:rFonts w:ascii="Times New Roman" w:hAnsi="Times New Roman" w:cs="Times New Roman"/>
                <w:sz w:val="24"/>
                <w:szCs w:val="24"/>
              </w:rPr>
            </w:pPr>
            <w:r>
              <w:rPr>
                <w:rFonts w:ascii="Times New Roman" w:hAnsi="Times New Roman" w:cs="Times New Roman"/>
                <w:sz w:val="24"/>
                <w:szCs w:val="24"/>
              </w:rPr>
              <w:t>32% - Grade Level</w:t>
            </w:r>
          </w:p>
        </w:tc>
      </w:tr>
    </w:tbl>
    <w:p w14:paraId="19500B69" w14:textId="77777777" w:rsidR="00A76BDF" w:rsidRDefault="00A76BDF" w:rsidP="00A76BDF">
      <w:pPr>
        <w:pStyle w:val="List"/>
        <w:spacing w:after="120"/>
        <w:ind w:left="0" w:firstLine="0"/>
        <w:rPr>
          <w:rFonts w:ascii="Times New Roman" w:hAnsi="Times New Roman" w:cs="Times New Roman"/>
          <w:sz w:val="24"/>
          <w:szCs w:val="24"/>
        </w:rPr>
      </w:pPr>
      <w:r>
        <w:rPr>
          <w:rFonts w:ascii="Times New Roman" w:hAnsi="Times New Roman" w:cs="Times New Roman"/>
          <w:sz w:val="24"/>
          <w:szCs w:val="24"/>
        </w:rPr>
        <w:t>The OLPA results showed similar data we used to inform our instruction.</w:t>
      </w:r>
    </w:p>
    <w:p w14:paraId="2ED272F8" w14:textId="77777777" w:rsidR="00A76BDF" w:rsidRDefault="00A76BDF" w:rsidP="00A76BDF">
      <w:pPr>
        <w:rPr>
          <w:rFonts w:ascii="Times New Roman" w:hAnsi="Times New Roman" w:cs="Times New Roman"/>
          <w:sz w:val="24"/>
          <w:szCs w:val="24"/>
        </w:rPr>
      </w:pPr>
      <w:r>
        <w:rPr>
          <w:rFonts w:ascii="Times New Roman" w:hAnsi="Times New Roman" w:cs="Times New Roman"/>
          <w:sz w:val="24"/>
          <w:szCs w:val="24"/>
        </w:rPr>
        <w:t>OLPA Results in January 2014:</w:t>
      </w:r>
    </w:p>
    <w:p w14:paraId="5A9153EE" w14:textId="77777777" w:rsidR="00A76BDF" w:rsidRPr="00A76BDF" w:rsidRDefault="00A76BDF" w:rsidP="00A76BDF">
      <w:pPr>
        <w:pStyle w:val="List"/>
        <w:spacing w:after="120"/>
        <w:ind w:left="0" w:firstLine="0"/>
        <w:rPr>
          <w:i/>
          <w:color w:val="808080" w:themeColor="background1" w:themeShade="80"/>
        </w:rPr>
      </w:pPr>
      <w:r>
        <w:rPr>
          <w:rFonts w:ascii="Times New Roman" w:hAnsi="Times New Roman" w:cs="Times New Roman"/>
          <w:sz w:val="24"/>
          <w:szCs w:val="24"/>
        </w:rPr>
        <w:t>Math: 20%   Reading: 24%</w:t>
      </w:r>
      <w:r>
        <w:rPr>
          <w:rFonts w:ascii="Times New Roman" w:hAnsi="Times New Roman" w:cs="Times New Roman"/>
          <w:sz w:val="24"/>
          <w:szCs w:val="24"/>
        </w:rPr>
        <w:br/>
        <w:t>School Goal for Both Subjects: 35%</w:t>
      </w:r>
    </w:p>
    <w:p w14:paraId="144DC860" w14:textId="1A422866" w:rsidR="00970CEF" w:rsidRDefault="009D5E3B" w:rsidP="00940649">
      <w:pPr>
        <w:pStyle w:val="Heading2"/>
        <w:spacing w:before="360"/>
      </w:pPr>
      <w:r>
        <w:t xml:space="preserve">Systems, </w:t>
      </w:r>
      <w:r w:rsidR="00B27778">
        <w:t xml:space="preserve">Innovative </w:t>
      </w:r>
      <w:r w:rsidR="00DD1961">
        <w:t xml:space="preserve">Strategies and </w:t>
      </w:r>
      <w:r w:rsidR="00970CEF">
        <w:t>Support Category</w:t>
      </w:r>
    </w:p>
    <w:p w14:paraId="070CC878" w14:textId="77777777" w:rsidR="00970CEF" w:rsidRPr="00970CEF" w:rsidRDefault="00970CEF" w:rsidP="00970CEF">
      <w:pPr>
        <w:pStyle w:val="NoSpacing"/>
        <w:rPr>
          <w:b/>
        </w:rPr>
      </w:pPr>
      <w:r w:rsidRPr="00970CEF">
        <w:rPr>
          <w:b/>
        </w:rPr>
        <w:t>Students</w:t>
      </w:r>
    </w:p>
    <w:p w14:paraId="107362E9" w14:textId="77777777" w:rsidR="00B85D61" w:rsidRPr="00662733" w:rsidRDefault="00970CEF" w:rsidP="00662733">
      <w:pPr>
        <w:pStyle w:val="NoSpacing"/>
        <w:numPr>
          <w:ilvl w:val="0"/>
          <w:numId w:val="23"/>
        </w:numPr>
        <w:rPr>
          <w:i/>
          <w:color w:val="000000" w:themeColor="text1"/>
        </w:rPr>
      </w:pPr>
      <w:r w:rsidRPr="00662733">
        <w:rPr>
          <w:i/>
          <w:color w:val="000000" w:themeColor="text1"/>
        </w:rPr>
        <w:t xml:space="preserve">Describe the support </w:t>
      </w:r>
      <w:r w:rsidR="00CD7DCF" w:rsidRPr="00662733">
        <w:rPr>
          <w:i/>
          <w:color w:val="000000" w:themeColor="text1"/>
        </w:rPr>
        <w:t>offered to students</w:t>
      </w:r>
      <w:r w:rsidRPr="00662733">
        <w:rPr>
          <w:i/>
          <w:color w:val="000000" w:themeColor="text1"/>
        </w:rPr>
        <w:t xml:space="preserve"> </w:t>
      </w:r>
      <w:r w:rsidR="00CD7DCF" w:rsidRPr="00662733">
        <w:rPr>
          <w:i/>
          <w:color w:val="000000" w:themeColor="text1"/>
        </w:rPr>
        <w:t xml:space="preserve">during the 2014-2015 school year </w:t>
      </w:r>
      <w:r w:rsidR="00556E29" w:rsidRPr="00662733">
        <w:rPr>
          <w:i/>
          <w:color w:val="000000" w:themeColor="text1"/>
        </w:rPr>
        <w:t>to meet the goals</w:t>
      </w:r>
      <w:r w:rsidR="009011E0" w:rsidRPr="00662733">
        <w:rPr>
          <w:i/>
          <w:color w:val="000000" w:themeColor="text1"/>
        </w:rPr>
        <w:t xml:space="preserve">. </w:t>
      </w:r>
    </w:p>
    <w:p w14:paraId="35A64AC7" w14:textId="77777777" w:rsidR="00662733" w:rsidRPr="00662733" w:rsidRDefault="00662733" w:rsidP="00662733">
      <w:pPr>
        <w:pStyle w:val="NoSpacing"/>
        <w:ind w:left="720"/>
        <w:rPr>
          <w:i/>
          <w:color w:val="000000" w:themeColor="text1"/>
        </w:rPr>
      </w:pPr>
    </w:p>
    <w:p w14:paraId="478F8EBB" w14:textId="77777777" w:rsidR="00A76BDF" w:rsidRPr="00662733" w:rsidRDefault="00A76BDF" w:rsidP="00A76BDF">
      <w:pPr>
        <w:pStyle w:val="NoSpacing"/>
        <w:ind w:left="1080"/>
        <w:rPr>
          <w:color w:val="000000" w:themeColor="text1"/>
        </w:rPr>
      </w:pPr>
      <w:r w:rsidRPr="00662733">
        <w:rPr>
          <w:color w:val="000000" w:themeColor="text1"/>
        </w:rPr>
        <w:t>We utilized the NWEA MAP test twice last year and will use it three times in the 2015-2016 school year.  We also took the OLPA assessments as well as the MCAs.  Additionally, teachers utilized classroom assessments as further measures of student success.</w:t>
      </w:r>
      <w:r w:rsidR="006B600A" w:rsidRPr="00662733">
        <w:rPr>
          <w:color w:val="000000" w:themeColor="text1"/>
        </w:rPr>
        <w:t xml:space="preserve">  </w:t>
      </w:r>
    </w:p>
    <w:p w14:paraId="69637EFD" w14:textId="77777777" w:rsidR="006B600A" w:rsidRPr="00662733" w:rsidRDefault="006B600A" w:rsidP="00A76BDF">
      <w:pPr>
        <w:pStyle w:val="NoSpacing"/>
        <w:ind w:left="1080"/>
        <w:rPr>
          <w:color w:val="000000" w:themeColor="text1"/>
        </w:rPr>
      </w:pPr>
    </w:p>
    <w:p w14:paraId="290B8EB2" w14:textId="77777777" w:rsidR="006B600A" w:rsidRPr="00662733" w:rsidRDefault="006B600A" w:rsidP="00A76BDF">
      <w:pPr>
        <w:pStyle w:val="NoSpacing"/>
        <w:ind w:left="1080"/>
        <w:rPr>
          <w:color w:val="000000" w:themeColor="text1"/>
        </w:rPr>
      </w:pPr>
      <w:r w:rsidRPr="00662733">
        <w:rPr>
          <w:color w:val="000000" w:themeColor="text1"/>
        </w:rPr>
        <w:t xml:space="preserve">We also set a standards-based assessment goal of having 80% of our students completing 80% their standards by the time of the MCA assessments for grades 3-6 and by the end of the year for grades K-2.  </w:t>
      </w:r>
      <w:r w:rsidR="002B22D0" w:rsidRPr="00662733">
        <w:rPr>
          <w:color w:val="000000" w:themeColor="text1"/>
        </w:rPr>
        <w:t xml:space="preserve">Most classes did not meet this goal.  </w:t>
      </w:r>
    </w:p>
    <w:p w14:paraId="3B6E13E3" w14:textId="77777777" w:rsidR="002B22D0" w:rsidRPr="00662733" w:rsidRDefault="002B22D0" w:rsidP="00A76BDF">
      <w:pPr>
        <w:pStyle w:val="NoSpacing"/>
        <w:ind w:left="1080"/>
        <w:rPr>
          <w:color w:val="000000" w:themeColor="text1"/>
        </w:rPr>
      </w:pPr>
    </w:p>
    <w:p w14:paraId="08FDC169" w14:textId="77777777" w:rsidR="006B600A" w:rsidRPr="00662733" w:rsidRDefault="006B600A" w:rsidP="00A76BDF">
      <w:pPr>
        <w:pStyle w:val="NoSpacing"/>
        <w:ind w:left="1080"/>
        <w:rPr>
          <w:color w:val="000000" w:themeColor="text1"/>
        </w:rPr>
      </w:pPr>
      <w:r w:rsidRPr="00662733">
        <w:rPr>
          <w:color w:val="000000" w:themeColor="text1"/>
        </w:rPr>
        <w:t xml:space="preserve">Here is the </w:t>
      </w:r>
      <w:r w:rsidR="004818D2">
        <w:rPr>
          <w:color w:val="000000" w:themeColor="text1"/>
        </w:rPr>
        <w:t xml:space="preserve">Study Island completion </w:t>
      </w:r>
      <w:r w:rsidRPr="00662733">
        <w:rPr>
          <w:color w:val="000000" w:themeColor="text1"/>
        </w:rPr>
        <w:t>data from April 2015:</w:t>
      </w:r>
    </w:p>
    <w:p w14:paraId="09F199BD" w14:textId="77777777" w:rsidR="006B600A" w:rsidRPr="00662733" w:rsidRDefault="006B600A" w:rsidP="00A76BDF">
      <w:pPr>
        <w:pStyle w:val="NoSpacing"/>
        <w:ind w:left="1080"/>
        <w:rPr>
          <w:color w:val="000000" w:themeColor="text1"/>
        </w:rPr>
      </w:pPr>
      <w:r w:rsidRPr="00662733">
        <w:rPr>
          <w:rFonts w:ascii="Times New Roman" w:hAnsi="Times New Roman" w:cs="Times New Roman"/>
          <w:noProof/>
          <w:color w:val="000000" w:themeColor="text1"/>
          <w:sz w:val="24"/>
          <w:szCs w:val="24"/>
          <w:lang w:eastAsia="ko-KR"/>
        </w:rPr>
        <w:lastRenderedPageBreak/>
        <w:drawing>
          <wp:inline distT="0" distB="0" distL="0" distR="0" wp14:anchorId="5993B981" wp14:editId="13406D4C">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A38ACE" w14:textId="77777777" w:rsidR="00970CEF" w:rsidRPr="00662733" w:rsidRDefault="00970CEF" w:rsidP="00662733">
      <w:pPr>
        <w:pStyle w:val="NoSpacing"/>
        <w:rPr>
          <w:i/>
          <w:color w:val="000000" w:themeColor="text1"/>
        </w:rPr>
      </w:pPr>
    </w:p>
    <w:p w14:paraId="6110BB94" w14:textId="77777777" w:rsidR="002B22D0" w:rsidRDefault="002B22D0" w:rsidP="002B22D0">
      <w:pPr>
        <w:pStyle w:val="NoSpacing"/>
        <w:ind w:left="1080"/>
      </w:pPr>
      <w:r>
        <w:t>The data from all subgroups was disaggregated depending the on the subgroup.  For example, EL students were grouped according to WIDA level data triangulated with classroom and objective data.  Within those groups, student data was used to further diffe</w:t>
      </w:r>
      <w:r w:rsidR="001B0913">
        <w:t>rentiate.  Special education followed</w:t>
      </w:r>
      <w:r>
        <w:t xml:space="preserve"> a similar process although the students remained in the least restrictive environment that would allow them to reach their goals and Special education also worked with teachers to provide early intervention services.</w:t>
      </w:r>
    </w:p>
    <w:p w14:paraId="59F90630" w14:textId="77777777" w:rsidR="007F7A0C" w:rsidRPr="00662733" w:rsidRDefault="002B22D0" w:rsidP="00662733">
      <w:pPr>
        <w:pStyle w:val="NoSpacing"/>
        <w:ind w:left="1080"/>
      </w:pPr>
      <w:r>
        <w:t xml:space="preserve"> </w:t>
      </w:r>
    </w:p>
    <w:p w14:paraId="416F4F15" w14:textId="77777777" w:rsidR="002B22D0" w:rsidRPr="00662733" w:rsidRDefault="002B22D0" w:rsidP="002B22D0">
      <w:pPr>
        <w:pStyle w:val="NoSpacing"/>
        <w:ind w:left="1080"/>
        <w:rPr>
          <w:color w:val="000000" w:themeColor="text1"/>
        </w:rPr>
      </w:pPr>
      <w:r w:rsidRPr="00662733">
        <w:rPr>
          <w:color w:val="000000" w:themeColor="text1"/>
        </w:rPr>
        <w:t>MCA Scores met our school goals and improved from mid-year OLPA and NWEA MAP data:</w:t>
      </w:r>
    </w:p>
    <w:p w14:paraId="6639A4D4" w14:textId="77777777" w:rsidR="002B22D0" w:rsidRPr="00662733" w:rsidRDefault="002B22D0" w:rsidP="002B22D0">
      <w:pPr>
        <w:pStyle w:val="NoSpacing"/>
        <w:ind w:left="1080"/>
        <w:rPr>
          <w:color w:val="000000" w:themeColor="text1"/>
        </w:rPr>
      </w:pPr>
      <w:r w:rsidRPr="00662733">
        <w:rPr>
          <w:color w:val="000000" w:themeColor="text1"/>
        </w:rPr>
        <w:t>MCA Math: 36.1%</w:t>
      </w:r>
    </w:p>
    <w:p w14:paraId="4C754ECD" w14:textId="77777777" w:rsidR="002B22D0" w:rsidRPr="00662733" w:rsidRDefault="002B22D0" w:rsidP="002B22D0">
      <w:pPr>
        <w:pStyle w:val="NoSpacing"/>
        <w:ind w:left="1080"/>
        <w:rPr>
          <w:color w:val="000000" w:themeColor="text1"/>
        </w:rPr>
      </w:pPr>
      <w:r w:rsidRPr="00662733">
        <w:rPr>
          <w:color w:val="000000" w:themeColor="text1"/>
        </w:rPr>
        <w:t xml:space="preserve">MCA Reading: </w:t>
      </w:r>
      <w:r w:rsidR="00460267" w:rsidRPr="00662733">
        <w:rPr>
          <w:color w:val="000000" w:themeColor="text1"/>
        </w:rPr>
        <w:t>41.9%</w:t>
      </w:r>
    </w:p>
    <w:p w14:paraId="4B5CFCFE" w14:textId="77777777" w:rsidR="00662733" w:rsidRDefault="00662733" w:rsidP="002B22D0">
      <w:pPr>
        <w:pStyle w:val="NoSpacing"/>
        <w:ind w:left="1080"/>
        <w:rPr>
          <w:color w:val="000000" w:themeColor="text1"/>
        </w:rPr>
      </w:pPr>
    </w:p>
    <w:p w14:paraId="4962730A" w14:textId="77777777" w:rsidR="00460267" w:rsidRPr="00662733" w:rsidRDefault="00460267" w:rsidP="002B22D0">
      <w:pPr>
        <w:pStyle w:val="NoSpacing"/>
        <w:ind w:left="1080"/>
        <w:rPr>
          <w:color w:val="000000" w:themeColor="text1"/>
        </w:rPr>
      </w:pPr>
      <w:r w:rsidRPr="00662733">
        <w:rPr>
          <w:color w:val="000000" w:themeColor="text1"/>
        </w:rPr>
        <w:t>St. Paul District Averages:</w:t>
      </w:r>
      <w:r w:rsidR="0032578F" w:rsidRPr="00662733">
        <w:rPr>
          <w:color w:val="000000" w:themeColor="text1"/>
        </w:rPr>
        <w:t xml:space="preserve"> </w:t>
      </w:r>
    </w:p>
    <w:p w14:paraId="60E42D82" w14:textId="77777777" w:rsidR="0032578F" w:rsidRPr="00662733" w:rsidRDefault="0032578F" w:rsidP="002B22D0">
      <w:pPr>
        <w:pStyle w:val="NoSpacing"/>
        <w:ind w:left="1080"/>
        <w:rPr>
          <w:color w:val="000000" w:themeColor="text1"/>
        </w:rPr>
      </w:pPr>
      <w:r w:rsidRPr="00662733">
        <w:rPr>
          <w:color w:val="000000" w:themeColor="text1"/>
        </w:rPr>
        <w:t>-MCA Math:  37.4%</w:t>
      </w:r>
    </w:p>
    <w:p w14:paraId="2CB2BD21" w14:textId="77777777" w:rsidR="0032578F" w:rsidRPr="00662733" w:rsidRDefault="0032578F" w:rsidP="002B22D0">
      <w:pPr>
        <w:pStyle w:val="NoSpacing"/>
        <w:ind w:left="1080"/>
        <w:rPr>
          <w:color w:val="000000" w:themeColor="text1"/>
        </w:rPr>
      </w:pPr>
      <w:r w:rsidRPr="00662733">
        <w:rPr>
          <w:color w:val="000000" w:themeColor="text1"/>
        </w:rPr>
        <w:t xml:space="preserve">-MCA Reading: 37.5% </w:t>
      </w:r>
    </w:p>
    <w:p w14:paraId="600E59DA" w14:textId="77777777" w:rsidR="0032578F" w:rsidRPr="00662733" w:rsidRDefault="0032578F" w:rsidP="002B22D0">
      <w:pPr>
        <w:pStyle w:val="NoSpacing"/>
        <w:ind w:left="1080"/>
        <w:rPr>
          <w:color w:val="000000" w:themeColor="text1"/>
        </w:rPr>
      </w:pPr>
    </w:p>
    <w:p w14:paraId="2199E93F" w14:textId="77777777" w:rsidR="00460267" w:rsidRPr="00662733" w:rsidRDefault="00460267" w:rsidP="002B22D0">
      <w:pPr>
        <w:pStyle w:val="NoSpacing"/>
        <w:ind w:left="1080"/>
        <w:rPr>
          <w:color w:val="000000" w:themeColor="text1"/>
        </w:rPr>
      </w:pPr>
      <w:r w:rsidRPr="00662733">
        <w:rPr>
          <w:color w:val="000000" w:themeColor="text1"/>
        </w:rPr>
        <w:t>State of Minnesota Averages:</w:t>
      </w:r>
    </w:p>
    <w:p w14:paraId="2895E2B1" w14:textId="77777777" w:rsidR="0032578F" w:rsidRPr="00662733" w:rsidRDefault="0032578F" w:rsidP="0032578F">
      <w:pPr>
        <w:pStyle w:val="NoSpacing"/>
        <w:ind w:left="1080"/>
        <w:rPr>
          <w:color w:val="000000" w:themeColor="text1"/>
        </w:rPr>
      </w:pPr>
      <w:r w:rsidRPr="00662733">
        <w:rPr>
          <w:color w:val="000000" w:themeColor="text1"/>
        </w:rPr>
        <w:t>-MCA Math:  61.5%</w:t>
      </w:r>
    </w:p>
    <w:p w14:paraId="19265ABF" w14:textId="77777777" w:rsidR="0032578F" w:rsidRPr="00662733" w:rsidRDefault="0032578F" w:rsidP="0032578F">
      <w:pPr>
        <w:pStyle w:val="NoSpacing"/>
        <w:ind w:left="1080"/>
        <w:rPr>
          <w:color w:val="000000" w:themeColor="text1"/>
        </w:rPr>
      </w:pPr>
      <w:r w:rsidRPr="00662733">
        <w:rPr>
          <w:color w:val="000000" w:themeColor="text1"/>
        </w:rPr>
        <w:t>-MCA Reading: 59.5%</w:t>
      </w:r>
    </w:p>
    <w:p w14:paraId="6F741EEF" w14:textId="77777777" w:rsidR="00275870" w:rsidRPr="00662733" w:rsidRDefault="00275870" w:rsidP="001B0913">
      <w:pPr>
        <w:pStyle w:val="NoSpacing"/>
        <w:rPr>
          <w:i/>
          <w:color w:val="000000" w:themeColor="text1"/>
        </w:rPr>
      </w:pPr>
    </w:p>
    <w:p w14:paraId="54D3B6F3" w14:textId="77777777" w:rsidR="00460267" w:rsidRPr="00662733" w:rsidRDefault="00460267" w:rsidP="00460267">
      <w:pPr>
        <w:pStyle w:val="NoSpacing"/>
        <w:ind w:left="1080"/>
        <w:rPr>
          <w:color w:val="000000" w:themeColor="text1"/>
        </w:rPr>
      </w:pPr>
      <w:r w:rsidRPr="00662733">
        <w:rPr>
          <w:color w:val="000000" w:themeColor="text1"/>
        </w:rPr>
        <w:t xml:space="preserve">As a new school, we did not have a focus area for 2014-2015; however, when we enrolled many EL students, we needed to shift from full to partial immersion to address the lack of background knowledge in English language. </w:t>
      </w:r>
    </w:p>
    <w:p w14:paraId="591E797E" w14:textId="77777777" w:rsidR="004B3CD2" w:rsidRPr="004B3CD2" w:rsidRDefault="004B3CD2" w:rsidP="004B3CD2">
      <w:pPr>
        <w:pStyle w:val="NoSpacing"/>
        <w:ind w:left="1080"/>
        <w:rPr>
          <w:i/>
        </w:rPr>
      </w:pPr>
    </w:p>
    <w:p w14:paraId="0127C23A" w14:textId="7714A040" w:rsidR="00970CEF" w:rsidRPr="00970CEF" w:rsidRDefault="00B27778" w:rsidP="00970CEF">
      <w:pPr>
        <w:pStyle w:val="NoSpacing"/>
        <w:rPr>
          <w:b/>
        </w:rPr>
      </w:pPr>
      <w:r>
        <w:rPr>
          <w:b/>
        </w:rPr>
        <w:t xml:space="preserve">Staffing: </w:t>
      </w:r>
      <w:r w:rsidR="00970CEF" w:rsidRPr="00970CEF">
        <w:rPr>
          <w:b/>
        </w:rPr>
        <w:t>Teachers</w:t>
      </w:r>
      <w:r w:rsidR="00970CEF">
        <w:rPr>
          <w:b/>
        </w:rPr>
        <w:t xml:space="preserve"> and </w:t>
      </w:r>
      <w:r w:rsidR="00970CEF" w:rsidRPr="00970CEF">
        <w:rPr>
          <w:b/>
        </w:rPr>
        <w:t>Principals</w:t>
      </w:r>
    </w:p>
    <w:p w14:paraId="6D52CA50" w14:textId="77777777" w:rsidR="00CD7DCF" w:rsidRPr="00662733" w:rsidRDefault="00970CEF" w:rsidP="00940649">
      <w:pPr>
        <w:pStyle w:val="NoSpacing"/>
        <w:numPr>
          <w:ilvl w:val="0"/>
          <w:numId w:val="23"/>
        </w:numPr>
        <w:rPr>
          <w:color w:val="000000" w:themeColor="text1"/>
        </w:rPr>
      </w:pPr>
      <w:r w:rsidRPr="00662733">
        <w:rPr>
          <w:i/>
          <w:color w:val="000000" w:themeColor="text1"/>
        </w:rPr>
        <w:t xml:space="preserve">Describe the support </w:t>
      </w:r>
      <w:r w:rsidR="00CD7DCF" w:rsidRPr="00662733">
        <w:rPr>
          <w:i/>
          <w:color w:val="000000" w:themeColor="text1"/>
        </w:rPr>
        <w:t>offered to teachers and principals during the 2014-2015 school year to meet the goals</w:t>
      </w:r>
      <w:r w:rsidR="00940649" w:rsidRPr="00662733">
        <w:rPr>
          <w:i/>
          <w:color w:val="000000" w:themeColor="text1"/>
        </w:rPr>
        <w:t>.</w:t>
      </w:r>
      <w:r w:rsidR="0013757E" w:rsidRPr="00662733">
        <w:rPr>
          <w:i/>
          <w:color w:val="000000" w:themeColor="text1"/>
        </w:rPr>
        <w:t xml:space="preserve"> </w:t>
      </w:r>
    </w:p>
    <w:p w14:paraId="1C285574" w14:textId="77777777" w:rsidR="0046409B" w:rsidRPr="00662733" w:rsidRDefault="0046409B" w:rsidP="00662733">
      <w:pPr>
        <w:pStyle w:val="NoSpacing"/>
        <w:rPr>
          <w:color w:val="000000" w:themeColor="text1"/>
        </w:rPr>
      </w:pPr>
    </w:p>
    <w:p w14:paraId="526301DB" w14:textId="77777777" w:rsidR="00970CEF" w:rsidRPr="00662733" w:rsidRDefault="0046409B" w:rsidP="00662733">
      <w:pPr>
        <w:pStyle w:val="NoSpacing"/>
        <w:ind w:left="720"/>
        <w:rPr>
          <w:color w:val="000000" w:themeColor="text1"/>
        </w:rPr>
      </w:pPr>
      <w:r w:rsidRPr="00662733">
        <w:rPr>
          <w:color w:val="000000" w:themeColor="text1"/>
        </w:rPr>
        <w:t xml:space="preserve">The school used a four observation approach to evaluate the teachers.  This included a self-evaluation, peer observation, and two observations conducted by the Executive Director.  Teachers were required to address any areas that required attention according to the rubric.  Following the four classroom observations, a summative evaluation was conducted by the Executive Director.  </w:t>
      </w:r>
      <w:r w:rsidR="009F5A35" w:rsidRPr="00662733">
        <w:rPr>
          <w:color w:val="000000" w:themeColor="text1"/>
        </w:rPr>
        <w:t xml:space="preserve">Additionally, the Executive Director provided daily walkthroughs and coaching with follow-up on key discussion items or areas that needed improvement.  All teachers completed all four observations and the summative evaluation.  </w:t>
      </w:r>
      <w:r w:rsidR="0013757E" w:rsidRPr="00662733">
        <w:rPr>
          <w:i/>
          <w:color w:val="000000" w:themeColor="text1"/>
        </w:rPr>
        <w:t xml:space="preserve"> </w:t>
      </w:r>
    </w:p>
    <w:p w14:paraId="3B4B09AC" w14:textId="77777777" w:rsidR="00970CEF" w:rsidRDefault="00970CEF" w:rsidP="00970CEF">
      <w:pPr>
        <w:pStyle w:val="NoSpacing"/>
      </w:pPr>
    </w:p>
    <w:p w14:paraId="48BEE087" w14:textId="77777777" w:rsidR="00970CEF" w:rsidRPr="00970CEF" w:rsidRDefault="00970CEF" w:rsidP="00970CEF">
      <w:pPr>
        <w:pStyle w:val="NoSpacing"/>
        <w:rPr>
          <w:b/>
        </w:rPr>
      </w:pPr>
      <w:r w:rsidRPr="00970CEF">
        <w:rPr>
          <w:b/>
        </w:rPr>
        <w:t>District</w:t>
      </w:r>
    </w:p>
    <w:p w14:paraId="5DB87B19" w14:textId="77777777" w:rsidR="00CD7DCF" w:rsidRPr="00662733" w:rsidRDefault="00970CEF" w:rsidP="00940649">
      <w:pPr>
        <w:pStyle w:val="NoSpacing"/>
        <w:numPr>
          <w:ilvl w:val="0"/>
          <w:numId w:val="23"/>
        </w:numPr>
        <w:rPr>
          <w:color w:val="000000" w:themeColor="text1"/>
        </w:rPr>
      </w:pPr>
      <w:r w:rsidRPr="00662733">
        <w:rPr>
          <w:i/>
          <w:color w:val="000000" w:themeColor="text1"/>
        </w:rPr>
        <w:t>Describe the support</w:t>
      </w:r>
      <w:r w:rsidR="00556E29" w:rsidRPr="00662733">
        <w:rPr>
          <w:i/>
          <w:color w:val="000000" w:themeColor="text1"/>
        </w:rPr>
        <w:t xml:space="preserve"> offered at the </w:t>
      </w:r>
      <w:r w:rsidRPr="00662733">
        <w:rPr>
          <w:i/>
          <w:color w:val="000000" w:themeColor="text1"/>
        </w:rPr>
        <w:t xml:space="preserve">district level </w:t>
      </w:r>
      <w:r w:rsidR="00D72412" w:rsidRPr="00662733">
        <w:rPr>
          <w:i/>
          <w:color w:val="000000" w:themeColor="text1"/>
        </w:rPr>
        <w:t xml:space="preserve">during the 2014-2015 school year </w:t>
      </w:r>
      <w:r w:rsidR="00556E29" w:rsidRPr="00662733">
        <w:rPr>
          <w:i/>
          <w:color w:val="000000" w:themeColor="text1"/>
        </w:rPr>
        <w:t>to meet the goals</w:t>
      </w:r>
      <w:r w:rsidRPr="00662733">
        <w:rPr>
          <w:i/>
          <w:color w:val="000000" w:themeColor="text1"/>
        </w:rPr>
        <w:t>.</w:t>
      </w:r>
      <w:r w:rsidR="00DD1961" w:rsidRPr="00662733">
        <w:rPr>
          <w:i/>
          <w:color w:val="000000" w:themeColor="text1"/>
        </w:rPr>
        <w:t xml:space="preserve"> </w:t>
      </w:r>
    </w:p>
    <w:p w14:paraId="0957690B" w14:textId="77777777" w:rsidR="009F5A35" w:rsidRPr="00662733" w:rsidRDefault="009F5A35" w:rsidP="00662733">
      <w:pPr>
        <w:pStyle w:val="NoSpacing"/>
        <w:ind w:left="360" w:firstLine="360"/>
        <w:rPr>
          <w:color w:val="000000" w:themeColor="text1"/>
        </w:rPr>
      </w:pPr>
      <w:r w:rsidRPr="00662733">
        <w:rPr>
          <w:color w:val="000000" w:themeColor="text1"/>
        </w:rPr>
        <w:t>As a charter school, we are our own district and self-supporting.</w:t>
      </w:r>
    </w:p>
    <w:p w14:paraId="7965813E" w14:textId="77777777" w:rsidR="005A0336" w:rsidRDefault="005A0336" w:rsidP="004E64B4">
      <w:pPr>
        <w:pStyle w:val="List"/>
        <w:rPr>
          <w:b/>
          <w:sz w:val="26"/>
          <w:szCs w:val="26"/>
        </w:rPr>
      </w:pPr>
      <w:r>
        <w:rPr>
          <w:b/>
          <w:sz w:val="26"/>
          <w:szCs w:val="26"/>
        </w:rPr>
        <w:t>Equitable Access to Excellent Teachers</w:t>
      </w:r>
    </w:p>
    <w:p w14:paraId="461C14D8" w14:textId="77777777" w:rsidR="00540977" w:rsidRDefault="00540977" w:rsidP="00540977">
      <w:pPr>
        <w:pStyle w:val="NoSpacing"/>
        <w:spacing w:after="240"/>
        <w:rPr>
          <w:sz w:val="20"/>
          <w:szCs w:val="20"/>
        </w:rPr>
      </w:pPr>
      <w:r>
        <w:rPr>
          <w:sz w:val="20"/>
          <w:szCs w:val="20"/>
        </w:rPr>
        <w:t xml:space="preserve">[Note: </w:t>
      </w:r>
      <w:r w:rsidR="004B3CD2">
        <w:rPr>
          <w:sz w:val="20"/>
          <w:szCs w:val="20"/>
        </w:rPr>
        <w:t>Review</w:t>
      </w:r>
      <w:r>
        <w:rPr>
          <w:sz w:val="20"/>
          <w:szCs w:val="20"/>
        </w:rPr>
        <w:t xml:space="preserve"> the information </w:t>
      </w:r>
      <w:r w:rsidR="00EF4D95">
        <w:rPr>
          <w:sz w:val="20"/>
          <w:szCs w:val="20"/>
        </w:rPr>
        <w:t xml:space="preserve">below. </w:t>
      </w:r>
      <w:r w:rsidR="00EF4D95" w:rsidRPr="004B3CD2">
        <w:rPr>
          <w:b/>
          <w:sz w:val="20"/>
          <w:szCs w:val="20"/>
        </w:rPr>
        <w:t xml:space="preserve">Districts do not need to report </w:t>
      </w:r>
      <w:r w:rsidR="00C03F54" w:rsidRPr="004B3CD2">
        <w:rPr>
          <w:b/>
          <w:sz w:val="20"/>
          <w:szCs w:val="20"/>
        </w:rPr>
        <w:t>information</w:t>
      </w:r>
      <w:r w:rsidR="00EF4D95" w:rsidRPr="004B3CD2">
        <w:rPr>
          <w:b/>
          <w:sz w:val="20"/>
          <w:szCs w:val="20"/>
        </w:rPr>
        <w:t xml:space="preserve"> in this section</w:t>
      </w:r>
      <w:r w:rsidR="00C03F54" w:rsidRPr="004B3CD2">
        <w:rPr>
          <w:b/>
          <w:sz w:val="20"/>
          <w:szCs w:val="20"/>
        </w:rPr>
        <w:t xml:space="preserve"> at this time</w:t>
      </w:r>
      <w:r w:rsidR="00EF4D95" w:rsidRPr="004B3CD2">
        <w:rPr>
          <w:b/>
          <w:sz w:val="20"/>
          <w:szCs w:val="20"/>
        </w:rPr>
        <w:t>.</w:t>
      </w:r>
      <w:r w:rsidR="00EF4D95" w:rsidRPr="007E506F">
        <w:rPr>
          <w:sz w:val="20"/>
          <w:szCs w:val="20"/>
        </w:rPr>
        <w:t>]</w:t>
      </w:r>
      <w:r>
        <w:rPr>
          <w:sz w:val="20"/>
          <w:szCs w:val="20"/>
        </w:rPr>
        <w:t xml:space="preserve">  </w:t>
      </w:r>
    </w:p>
    <w:p w14:paraId="3E587CE8" w14:textId="77777777" w:rsidR="00A71559" w:rsidRPr="00B2615F" w:rsidRDefault="00CB0692" w:rsidP="00DA662E">
      <w:pPr>
        <w:pStyle w:val="NoSpacing"/>
        <w:spacing w:after="360"/>
      </w:pPr>
      <w:r w:rsidRPr="00B2615F">
        <w:t>Section 111</w:t>
      </w:r>
      <w:r w:rsidR="008E6152" w:rsidRPr="00B2615F">
        <w:t xml:space="preserve">1(b)(8)(C) </w:t>
      </w:r>
      <w:r w:rsidRPr="00B2615F">
        <w:t xml:space="preserve">of the Elementary and Secondary Education Act (ESEA) requires that each state take steps to ensure that poor and minority children are not taught at higher rates than other children by inexperienced, unqualified or out-of-field teachers.  On June 1, 2015, MDE submitted a plan to the U.S. Department of Education </w:t>
      </w:r>
      <w:r w:rsidR="008E6152" w:rsidRPr="00B2615F">
        <w:t>that required</w:t>
      </w:r>
      <w:r w:rsidRPr="00B2615F">
        <w:t xml:space="preserve"> all states to address long-term needs for improving equitable access of all students to great educators. </w:t>
      </w:r>
      <w:r w:rsidR="008E6152" w:rsidRPr="00B2615F">
        <w:t xml:space="preserve"> The plan was developed with significant stakeholder input and can be found on the </w:t>
      </w:r>
      <w:hyperlink r:id="rId14" w:history="1">
        <w:r w:rsidR="008E6152" w:rsidRPr="00B2615F">
          <w:rPr>
            <w:rStyle w:val="Hyperlink"/>
          </w:rPr>
          <w:t>MDE website</w:t>
        </w:r>
      </w:hyperlink>
      <w:r w:rsidR="00A71559" w:rsidRPr="00B2615F">
        <w:t>.</w:t>
      </w:r>
    </w:p>
    <w:p w14:paraId="63BCB356" w14:textId="77777777" w:rsidR="00CB0692" w:rsidRPr="00B2615F" w:rsidRDefault="00A71559" w:rsidP="00D325DE">
      <w:pPr>
        <w:pStyle w:val="NoSpacing"/>
      </w:pPr>
      <w:r w:rsidRPr="00B2615F">
        <w:t>From MDE’s data review, the following statewide equity gaps surfaced:</w:t>
      </w:r>
    </w:p>
    <w:p w14:paraId="5938C906" w14:textId="77777777" w:rsidR="00A71559" w:rsidRPr="00B2615F" w:rsidRDefault="00A71559" w:rsidP="00A71559">
      <w:pPr>
        <w:pStyle w:val="NoSpacing"/>
        <w:numPr>
          <w:ilvl w:val="0"/>
          <w:numId w:val="25"/>
        </w:numPr>
      </w:pPr>
      <w:r w:rsidRPr="00B2615F">
        <w:t xml:space="preserve">Schools in the highest poverty quartile are more likely to have inexperienced, unqualified and out-of-field teachers than schools in the lowest poverty quartile. </w:t>
      </w:r>
    </w:p>
    <w:p w14:paraId="7284E2C3" w14:textId="77777777" w:rsidR="00A71559" w:rsidRPr="00B2615F" w:rsidRDefault="00A71559" w:rsidP="00A71559">
      <w:pPr>
        <w:pStyle w:val="NoSpacing"/>
        <w:numPr>
          <w:ilvl w:val="0"/>
          <w:numId w:val="25"/>
        </w:numPr>
      </w:pPr>
      <w:r w:rsidRPr="00B2615F">
        <w:t>Schools in the highest minority quartile are more likely to have inexperienced, unqualified and out-of-field teachers than schools in the lowest minority quartile.</w:t>
      </w:r>
    </w:p>
    <w:p w14:paraId="6EFC4F25" w14:textId="77777777" w:rsidR="00A71559" w:rsidRPr="00B2615F" w:rsidRDefault="00A71559" w:rsidP="00A71559">
      <w:pPr>
        <w:pStyle w:val="NoSpacing"/>
        <w:numPr>
          <w:ilvl w:val="0"/>
          <w:numId w:val="25"/>
        </w:numPr>
      </w:pPr>
      <w:r w:rsidRPr="00B2615F">
        <w:t>Priority and Focus schools are more likely to have inexperienced, unqualified and out-of-field teachers than Reward schools.</w:t>
      </w:r>
    </w:p>
    <w:p w14:paraId="60752577" w14:textId="77777777" w:rsidR="00A71559" w:rsidRPr="00B2615F" w:rsidRDefault="00A71559" w:rsidP="00A71559">
      <w:pPr>
        <w:pStyle w:val="NoSpacing"/>
        <w:numPr>
          <w:ilvl w:val="0"/>
          <w:numId w:val="25"/>
        </w:numPr>
      </w:pPr>
      <w:r w:rsidRPr="00B2615F">
        <w:t>Charter schools are more likely to have inexperienced, unqualified and out-of-field teachers than non-charter schools.</w:t>
      </w:r>
    </w:p>
    <w:p w14:paraId="092B3D25" w14:textId="77777777" w:rsidR="005F3A1A" w:rsidRPr="00B2615F" w:rsidRDefault="005F3A1A" w:rsidP="005F3A1A">
      <w:pPr>
        <w:pStyle w:val="NoSpacing"/>
        <w:ind w:left="360"/>
      </w:pPr>
    </w:p>
    <w:p w14:paraId="5AD57208" w14:textId="77777777" w:rsidR="00DA662E" w:rsidRDefault="00DA662E" w:rsidP="00B551D7">
      <w:pPr>
        <w:pStyle w:val="NoSpacing"/>
        <w:spacing w:after="360"/>
      </w:pPr>
      <w:r w:rsidRPr="00B2615F">
        <w:t xml:space="preserve">To reach the goals of the WBWF, it is important to ensure that all students, particularly students from low-income families and students of color, have equitable access to teachers and principals who can </w:t>
      </w:r>
      <w:r w:rsidR="002D3E46" w:rsidRPr="00B2615F">
        <w:t>h</w:t>
      </w:r>
      <w:r w:rsidR="00DA1EF5" w:rsidRPr="00B2615F">
        <w:t>elp them reach their</w:t>
      </w:r>
      <w:r w:rsidR="00540977" w:rsidRPr="00B2615F">
        <w:t xml:space="preserve"> potential. </w:t>
      </w:r>
      <w:r w:rsidR="005B5E27" w:rsidRPr="00B2615F">
        <w:t xml:space="preserve">Beginning with the next WBWF </w:t>
      </w:r>
      <w:r w:rsidR="00D325DE" w:rsidRPr="00B2615F">
        <w:t>summary, to be submitted in fall 2016, MDE will request information about the district process to examine the distribution of experienced and qualified teachers</w:t>
      </w:r>
      <w:r w:rsidR="00B551D7" w:rsidRPr="00B2615F">
        <w:t xml:space="preserve"> across the district and within school sites using data.</w:t>
      </w:r>
      <w:r w:rsidR="00540977" w:rsidRPr="00B2615F">
        <w:t xml:space="preserve"> </w:t>
      </w:r>
      <w:r w:rsidR="00B551D7" w:rsidRPr="00B2615F">
        <w:t xml:space="preserve"> </w:t>
      </w:r>
    </w:p>
    <w:p w14:paraId="5B31A42F" w14:textId="1A7482E2" w:rsidR="00B27778" w:rsidRDefault="00B27778" w:rsidP="00B551D7">
      <w:pPr>
        <w:pStyle w:val="NoSpacing"/>
        <w:spacing w:after="360"/>
        <w:rPr>
          <w:b/>
          <w:sz w:val="28"/>
          <w:szCs w:val="28"/>
        </w:rPr>
      </w:pPr>
      <w:r w:rsidRPr="00B27778">
        <w:rPr>
          <w:b/>
          <w:sz w:val="28"/>
          <w:szCs w:val="28"/>
        </w:rPr>
        <w:t>Future Plans</w:t>
      </w:r>
    </w:p>
    <w:p w14:paraId="4DAEAE0C" w14:textId="13795A37" w:rsidR="00B27778" w:rsidRPr="00B27778" w:rsidRDefault="00B27778" w:rsidP="00B551D7">
      <w:pPr>
        <w:pStyle w:val="NoSpacing"/>
        <w:spacing w:after="360"/>
      </w:pPr>
      <w:r>
        <w:t>Sejong Academy is committed to working to be inclusive in providing foreign language immersion to underprivileged groups in Minnesota.  We will be expanding to 7</w:t>
      </w:r>
      <w:r w:rsidRPr="00B27778">
        <w:rPr>
          <w:vertAlign w:val="superscript"/>
        </w:rPr>
        <w:t>th</w:t>
      </w:r>
      <w:r>
        <w:t xml:space="preserve"> grade 2014</w:t>
      </w:r>
      <w:r w:rsidR="00271B56">
        <w:t>-2015 and then adding 8</w:t>
      </w:r>
      <w:r w:rsidR="00271B56" w:rsidRPr="00271B56">
        <w:rPr>
          <w:vertAlign w:val="superscript"/>
        </w:rPr>
        <w:t>th</w:t>
      </w:r>
      <w:r w:rsidR="00271B56">
        <w:t xml:space="preserve"> </w:t>
      </w:r>
      <w:r w:rsidR="00271B56">
        <w:lastRenderedPageBreak/>
        <w:t xml:space="preserve">grade the following year.  </w:t>
      </w:r>
      <w:r w:rsidR="005378F0">
        <w:t>Overall, we are excited to be able to offer Korean language and cultural immersion to students in Minnesota.</w:t>
      </w:r>
      <w:bookmarkStart w:id="0" w:name="_GoBack"/>
      <w:bookmarkEnd w:id="0"/>
    </w:p>
    <w:sectPr w:rsidR="00B27778" w:rsidRPr="00B27778" w:rsidSect="00BC473E">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E0517" w14:textId="77777777" w:rsidR="005F3E07" w:rsidRDefault="005F3E07" w:rsidP="00232178">
      <w:pPr>
        <w:spacing w:after="0" w:line="240" w:lineRule="auto"/>
      </w:pPr>
      <w:r>
        <w:separator/>
      </w:r>
    </w:p>
  </w:endnote>
  <w:endnote w:type="continuationSeparator" w:id="0">
    <w:p w14:paraId="7B155355" w14:textId="77777777" w:rsidR="005F3E07" w:rsidRDefault="005F3E0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91123"/>
      <w:docPartObj>
        <w:docPartGallery w:val="Page Numbers (Bottom of Page)"/>
        <w:docPartUnique/>
      </w:docPartObj>
    </w:sdtPr>
    <w:sdtEndPr>
      <w:rPr>
        <w:noProof/>
      </w:rPr>
    </w:sdtEndPr>
    <w:sdtContent>
      <w:p w14:paraId="336D75F6" w14:textId="77777777" w:rsidR="000425DA" w:rsidRDefault="000425DA">
        <w:pPr>
          <w:pStyle w:val="Footer"/>
          <w:jc w:val="right"/>
        </w:pPr>
        <w:r>
          <w:fldChar w:fldCharType="begin"/>
        </w:r>
        <w:r>
          <w:instrText xml:space="preserve"> PAGE   \* MERGEFORMAT </w:instrText>
        </w:r>
        <w:r>
          <w:fldChar w:fldCharType="separate"/>
        </w:r>
        <w:r w:rsidR="005378F0">
          <w:rPr>
            <w:noProof/>
          </w:rPr>
          <w:t>10</w:t>
        </w:r>
        <w:r>
          <w:rPr>
            <w:noProof/>
          </w:rPr>
          <w:fldChar w:fldCharType="end"/>
        </w:r>
      </w:p>
    </w:sdtContent>
  </w:sdt>
  <w:p w14:paraId="09533B95" w14:textId="77777777" w:rsidR="00682D04" w:rsidRDefault="00682D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BBC4A" w14:textId="77777777" w:rsidR="005F3E07" w:rsidRDefault="005F3E07" w:rsidP="00232178">
      <w:pPr>
        <w:spacing w:after="0" w:line="240" w:lineRule="auto"/>
      </w:pPr>
      <w:r>
        <w:separator/>
      </w:r>
    </w:p>
  </w:footnote>
  <w:footnote w:type="continuationSeparator" w:id="0">
    <w:p w14:paraId="59207710" w14:textId="77777777" w:rsidR="005F3E07" w:rsidRDefault="005F3E07" w:rsidP="00232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F7C6" w14:textId="77777777" w:rsidR="00682D04" w:rsidRDefault="00682D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7158CC"/>
    <w:multiLevelType w:val="hybridMultilevel"/>
    <w:tmpl w:val="842A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25A4"/>
    <w:multiLevelType w:val="hybridMultilevel"/>
    <w:tmpl w:val="2B722A3A"/>
    <w:lvl w:ilvl="0" w:tplc="8188E7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913345"/>
    <w:multiLevelType w:val="hybridMultilevel"/>
    <w:tmpl w:val="2070D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4230FB"/>
    <w:multiLevelType w:val="hybridMultilevel"/>
    <w:tmpl w:val="8DD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04525"/>
    <w:multiLevelType w:val="hybridMultilevel"/>
    <w:tmpl w:val="DFC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32D33"/>
    <w:multiLevelType w:val="hybridMultilevel"/>
    <w:tmpl w:val="0BE6CAD0"/>
    <w:lvl w:ilvl="0" w:tplc="444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168D3"/>
    <w:multiLevelType w:val="hybridMultilevel"/>
    <w:tmpl w:val="7A4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338E0"/>
    <w:multiLevelType w:val="hybridMultilevel"/>
    <w:tmpl w:val="6598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A194D"/>
    <w:multiLevelType w:val="hybridMultilevel"/>
    <w:tmpl w:val="933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411CD"/>
    <w:multiLevelType w:val="hybridMultilevel"/>
    <w:tmpl w:val="DA76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90A01"/>
    <w:multiLevelType w:val="hybridMultilevel"/>
    <w:tmpl w:val="EE8E3CDA"/>
    <w:lvl w:ilvl="0" w:tplc="E4DA353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8C65D8"/>
    <w:multiLevelType w:val="hybridMultilevel"/>
    <w:tmpl w:val="97E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00580"/>
    <w:multiLevelType w:val="hybridMultilevel"/>
    <w:tmpl w:val="DD0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971FC"/>
    <w:multiLevelType w:val="hybridMultilevel"/>
    <w:tmpl w:val="47247E60"/>
    <w:lvl w:ilvl="0" w:tplc="85EA07AE">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E6849"/>
    <w:multiLevelType w:val="hybridMultilevel"/>
    <w:tmpl w:val="F6FC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756B2"/>
    <w:multiLevelType w:val="hybridMultilevel"/>
    <w:tmpl w:val="76E49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0"/>
  </w:num>
  <w:num w:numId="15">
    <w:abstractNumId w:val="21"/>
  </w:num>
  <w:num w:numId="16">
    <w:abstractNumId w:val="10"/>
  </w:num>
  <w:num w:numId="17">
    <w:abstractNumId w:val="24"/>
  </w:num>
  <w:num w:numId="18">
    <w:abstractNumId w:val="12"/>
  </w:num>
  <w:num w:numId="19">
    <w:abstractNumId w:val="13"/>
  </w:num>
  <w:num w:numId="20">
    <w:abstractNumId w:val="18"/>
  </w:num>
  <w:num w:numId="21">
    <w:abstractNumId w:val="20"/>
  </w:num>
  <w:num w:numId="22">
    <w:abstractNumId w:val="19"/>
  </w:num>
  <w:num w:numId="23">
    <w:abstractNumId w:val="29"/>
  </w:num>
  <w:num w:numId="24">
    <w:abstractNumId w:val="22"/>
  </w:num>
  <w:num w:numId="25">
    <w:abstractNumId w:val="16"/>
  </w:num>
  <w:num w:numId="26">
    <w:abstractNumId w:val="17"/>
  </w:num>
  <w:num w:numId="27">
    <w:abstractNumId w:val="26"/>
  </w:num>
  <w:num w:numId="28">
    <w:abstractNumId w:val="28"/>
  </w:num>
  <w:num w:numId="29">
    <w:abstractNumId w:val="23"/>
  </w:num>
  <w:num w:numId="30">
    <w:abstractNumId w:val="25"/>
  </w:num>
  <w:num w:numId="31">
    <w:abstractNumId w:val="33"/>
  </w:num>
  <w:num w:numId="32">
    <w:abstractNumId w:val="15"/>
  </w:num>
  <w:num w:numId="33">
    <w:abstractNumId w:val="34"/>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EF"/>
    <w:rsid w:val="0001359D"/>
    <w:rsid w:val="000169CB"/>
    <w:rsid w:val="0003226B"/>
    <w:rsid w:val="0003364E"/>
    <w:rsid w:val="000425DA"/>
    <w:rsid w:val="00047B88"/>
    <w:rsid w:val="0005190D"/>
    <w:rsid w:val="00051D24"/>
    <w:rsid w:val="00054C47"/>
    <w:rsid w:val="000A10C7"/>
    <w:rsid w:val="000A2290"/>
    <w:rsid w:val="000A530D"/>
    <w:rsid w:val="000E05B8"/>
    <w:rsid w:val="000F2761"/>
    <w:rsid w:val="000F2B3E"/>
    <w:rsid w:val="000F689F"/>
    <w:rsid w:val="00103EFD"/>
    <w:rsid w:val="001045D5"/>
    <w:rsid w:val="00113EEF"/>
    <w:rsid w:val="0012477A"/>
    <w:rsid w:val="00130D81"/>
    <w:rsid w:val="0013757E"/>
    <w:rsid w:val="00156242"/>
    <w:rsid w:val="0017210C"/>
    <w:rsid w:val="00175597"/>
    <w:rsid w:val="00177245"/>
    <w:rsid w:val="00183D7A"/>
    <w:rsid w:val="00192514"/>
    <w:rsid w:val="001B0913"/>
    <w:rsid w:val="00207BC6"/>
    <w:rsid w:val="002312C4"/>
    <w:rsid w:val="00232178"/>
    <w:rsid w:val="00271B56"/>
    <w:rsid w:val="00275870"/>
    <w:rsid w:val="00280EC8"/>
    <w:rsid w:val="00281A86"/>
    <w:rsid w:val="00293373"/>
    <w:rsid w:val="002B22D0"/>
    <w:rsid w:val="002C220F"/>
    <w:rsid w:val="002C4CA8"/>
    <w:rsid w:val="002D25CC"/>
    <w:rsid w:val="002D3E46"/>
    <w:rsid w:val="00314A4B"/>
    <w:rsid w:val="00317BA9"/>
    <w:rsid w:val="0032578F"/>
    <w:rsid w:val="00332501"/>
    <w:rsid w:val="00334C13"/>
    <w:rsid w:val="00345755"/>
    <w:rsid w:val="00352639"/>
    <w:rsid w:val="003839AB"/>
    <w:rsid w:val="003A1A2B"/>
    <w:rsid w:val="003A40B9"/>
    <w:rsid w:val="003C475E"/>
    <w:rsid w:val="003F5531"/>
    <w:rsid w:val="004025C1"/>
    <w:rsid w:val="00436D86"/>
    <w:rsid w:val="004475A9"/>
    <w:rsid w:val="00460267"/>
    <w:rsid w:val="0046409B"/>
    <w:rsid w:val="004733FC"/>
    <w:rsid w:val="0048171E"/>
    <w:rsid w:val="004818D2"/>
    <w:rsid w:val="004A233B"/>
    <w:rsid w:val="004B3CD2"/>
    <w:rsid w:val="004E64B4"/>
    <w:rsid w:val="004F124B"/>
    <w:rsid w:val="005040A7"/>
    <w:rsid w:val="00514B77"/>
    <w:rsid w:val="005378F0"/>
    <w:rsid w:val="00540977"/>
    <w:rsid w:val="00556E29"/>
    <w:rsid w:val="005926FE"/>
    <w:rsid w:val="00593071"/>
    <w:rsid w:val="005A0336"/>
    <w:rsid w:val="005B5E27"/>
    <w:rsid w:val="005D0FB7"/>
    <w:rsid w:val="005F3A1A"/>
    <w:rsid w:val="005F3E07"/>
    <w:rsid w:val="005F4C20"/>
    <w:rsid w:val="00600189"/>
    <w:rsid w:val="0060670D"/>
    <w:rsid w:val="006115F4"/>
    <w:rsid w:val="00612EB2"/>
    <w:rsid w:val="00632FFF"/>
    <w:rsid w:val="00633737"/>
    <w:rsid w:val="00634DFC"/>
    <w:rsid w:val="00651E36"/>
    <w:rsid w:val="0065461B"/>
    <w:rsid w:val="00662733"/>
    <w:rsid w:val="00665BFA"/>
    <w:rsid w:val="00666C24"/>
    <w:rsid w:val="00682D04"/>
    <w:rsid w:val="00696B26"/>
    <w:rsid w:val="006B600A"/>
    <w:rsid w:val="006D206B"/>
    <w:rsid w:val="006D234D"/>
    <w:rsid w:val="006F0369"/>
    <w:rsid w:val="00713D63"/>
    <w:rsid w:val="007315A1"/>
    <w:rsid w:val="00745591"/>
    <w:rsid w:val="00781F45"/>
    <w:rsid w:val="007D3F4C"/>
    <w:rsid w:val="007E506F"/>
    <w:rsid w:val="007F068E"/>
    <w:rsid w:val="007F29BA"/>
    <w:rsid w:val="007F697A"/>
    <w:rsid w:val="007F7A0C"/>
    <w:rsid w:val="00804232"/>
    <w:rsid w:val="0081034D"/>
    <w:rsid w:val="00812CE4"/>
    <w:rsid w:val="008212DF"/>
    <w:rsid w:val="008339B9"/>
    <w:rsid w:val="00834057"/>
    <w:rsid w:val="008357D6"/>
    <w:rsid w:val="0084270B"/>
    <w:rsid w:val="00845BE3"/>
    <w:rsid w:val="00857E9D"/>
    <w:rsid w:val="008706BC"/>
    <w:rsid w:val="00890656"/>
    <w:rsid w:val="00895261"/>
    <w:rsid w:val="008964C0"/>
    <w:rsid w:val="00897BC8"/>
    <w:rsid w:val="008C1617"/>
    <w:rsid w:val="008E6152"/>
    <w:rsid w:val="008E7D7B"/>
    <w:rsid w:val="009011E0"/>
    <w:rsid w:val="00940649"/>
    <w:rsid w:val="00954950"/>
    <w:rsid w:val="00970CEF"/>
    <w:rsid w:val="0097447D"/>
    <w:rsid w:val="00995D67"/>
    <w:rsid w:val="009A1D2A"/>
    <w:rsid w:val="009D03C7"/>
    <w:rsid w:val="009D351D"/>
    <w:rsid w:val="009D5E3B"/>
    <w:rsid w:val="009E00CD"/>
    <w:rsid w:val="009F5A35"/>
    <w:rsid w:val="009F5A65"/>
    <w:rsid w:val="00A06DC1"/>
    <w:rsid w:val="00A1504F"/>
    <w:rsid w:val="00A40872"/>
    <w:rsid w:val="00A44165"/>
    <w:rsid w:val="00A504E1"/>
    <w:rsid w:val="00A51265"/>
    <w:rsid w:val="00A71559"/>
    <w:rsid w:val="00A76BDF"/>
    <w:rsid w:val="00AA3856"/>
    <w:rsid w:val="00AA3C09"/>
    <w:rsid w:val="00AB0875"/>
    <w:rsid w:val="00AB0F3E"/>
    <w:rsid w:val="00AE1790"/>
    <w:rsid w:val="00AF3CE7"/>
    <w:rsid w:val="00B2615F"/>
    <w:rsid w:val="00B27778"/>
    <w:rsid w:val="00B34B7A"/>
    <w:rsid w:val="00B446BE"/>
    <w:rsid w:val="00B45AD2"/>
    <w:rsid w:val="00B551D7"/>
    <w:rsid w:val="00B61DA7"/>
    <w:rsid w:val="00B75F10"/>
    <w:rsid w:val="00B85D61"/>
    <w:rsid w:val="00B866DC"/>
    <w:rsid w:val="00BA3311"/>
    <w:rsid w:val="00BB47D7"/>
    <w:rsid w:val="00BC473E"/>
    <w:rsid w:val="00BD089B"/>
    <w:rsid w:val="00BE0DEA"/>
    <w:rsid w:val="00C03F54"/>
    <w:rsid w:val="00C30032"/>
    <w:rsid w:val="00C33954"/>
    <w:rsid w:val="00C351EC"/>
    <w:rsid w:val="00C41023"/>
    <w:rsid w:val="00C72BBE"/>
    <w:rsid w:val="00C8113F"/>
    <w:rsid w:val="00C839B3"/>
    <w:rsid w:val="00CA41F5"/>
    <w:rsid w:val="00CA4C7E"/>
    <w:rsid w:val="00CB0692"/>
    <w:rsid w:val="00CC6A9E"/>
    <w:rsid w:val="00CD7DCF"/>
    <w:rsid w:val="00CE0D62"/>
    <w:rsid w:val="00CF0609"/>
    <w:rsid w:val="00CF08AF"/>
    <w:rsid w:val="00D019F7"/>
    <w:rsid w:val="00D13158"/>
    <w:rsid w:val="00D325DE"/>
    <w:rsid w:val="00D64F67"/>
    <w:rsid w:val="00D6741A"/>
    <w:rsid w:val="00D720D3"/>
    <w:rsid w:val="00D72412"/>
    <w:rsid w:val="00D967E0"/>
    <w:rsid w:val="00DA1EF5"/>
    <w:rsid w:val="00DA662E"/>
    <w:rsid w:val="00DD1961"/>
    <w:rsid w:val="00E05295"/>
    <w:rsid w:val="00E11991"/>
    <w:rsid w:val="00E14ACD"/>
    <w:rsid w:val="00E26A17"/>
    <w:rsid w:val="00E30133"/>
    <w:rsid w:val="00E53E28"/>
    <w:rsid w:val="00E63529"/>
    <w:rsid w:val="00E63F01"/>
    <w:rsid w:val="00E6463D"/>
    <w:rsid w:val="00E70A23"/>
    <w:rsid w:val="00E7752E"/>
    <w:rsid w:val="00E9376A"/>
    <w:rsid w:val="00E93B6F"/>
    <w:rsid w:val="00E961A4"/>
    <w:rsid w:val="00EE2C6E"/>
    <w:rsid w:val="00EF40D0"/>
    <w:rsid w:val="00EF4D95"/>
    <w:rsid w:val="00F05C48"/>
    <w:rsid w:val="00F10186"/>
    <w:rsid w:val="00F150C2"/>
    <w:rsid w:val="00F15A75"/>
    <w:rsid w:val="00F4200C"/>
    <w:rsid w:val="00F4600C"/>
    <w:rsid w:val="00F51BE7"/>
    <w:rsid w:val="00F614A8"/>
    <w:rsid w:val="00F663C6"/>
    <w:rsid w:val="00F701CD"/>
    <w:rsid w:val="00FD25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06DC1"/>
    <w:pPr>
      <w:numPr>
        <w:numId w:val="30"/>
      </w:numPr>
      <w:spacing w:before="0" w:after="0" w:line="240" w:lineRule="auto"/>
      <w:ind w:right="720"/>
    </w:pPr>
    <w:rPr>
      <w:i/>
      <w:color w:val="808080" w:themeColor="background1" w:themeShade="80"/>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E30133"/>
    <w:rPr>
      <w:color w:val="0000FF" w:themeColor="hyperlink"/>
      <w:u w:val="single"/>
    </w:rPr>
  </w:style>
  <w:style w:type="character" w:styleId="CommentReference">
    <w:name w:val="annotation reference"/>
    <w:basedOn w:val="DefaultParagraphFont"/>
    <w:uiPriority w:val="99"/>
    <w:semiHidden/>
    <w:unhideWhenUsed/>
    <w:locked/>
    <w:rsid w:val="00AE1790"/>
    <w:rPr>
      <w:sz w:val="16"/>
      <w:szCs w:val="16"/>
    </w:rPr>
  </w:style>
  <w:style w:type="character" w:styleId="FollowedHyperlink">
    <w:name w:val="FollowedHyperlink"/>
    <w:basedOn w:val="DefaultParagraphFont"/>
    <w:uiPriority w:val="99"/>
    <w:semiHidden/>
    <w:unhideWhenUsed/>
    <w:locked/>
    <w:rsid w:val="008E6152"/>
    <w:rPr>
      <w:color w:val="800080" w:themeColor="followedHyperlink"/>
      <w:u w:val="single"/>
    </w:rPr>
  </w:style>
  <w:style w:type="table" w:styleId="TableGrid">
    <w:name w:val="Table Grid"/>
    <w:basedOn w:val="TableNormal"/>
    <w:uiPriority w:val="59"/>
    <w:locked/>
    <w:rsid w:val="00317BA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hyperlink" Target="http://www.sejongacademy.org/home-1-2-1-1-1/" TargetMode="External"/><Relationship Id="rId13" Type="http://schemas.openxmlformats.org/officeDocument/2006/relationships/chart" Target="charts/chart1.xml"/><Relationship Id="rId14" Type="http://schemas.openxmlformats.org/officeDocument/2006/relationships/hyperlink" Target="http://education.state.mn.us/MDE/Welcome/AdvBCT/TeacherEquity/index.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DE.WorldsBestWorkForce@state.mn.us" TargetMode="External"/><Relationship Id="rId10" Type="http://schemas.openxmlformats.org/officeDocument/2006/relationships/image" Target="media/image2.tif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Study</a:t>
            </a:r>
            <a:r>
              <a:rPr lang="en-US" baseline="0"/>
              <a:t> Island</a:t>
            </a:r>
            <a:r>
              <a:rPr lang="en-US"/>
              <a:t> Blue</a:t>
            </a:r>
            <a:r>
              <a:rPr lang="en-US" baseline="0"/>
              <a:t> Ribbon Chart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Math</c:v>
                </c:pt>
              </c:strCache>
            </c:strRef>
          </c:tx>
          <c:spPr>
            <a:solidFill>
              <a:schemeClr val="accent1"/>
            </a:solidFill>
            <a:ln>
              <a:noFill/>
            </a:ln>
            <a:effectLst/>
          </c:spPr>
          <c:invertIfNegative val="0"/>
          <c:cat>
            <c:strRef>
              <c:f>Sheet1!$A$2:$A$7</c:f>
              <c:strCache>
                <c:ptCount val="6"/>
                <c:pt idx="0">
                  <c:v>Grade 1</c:v>
                </c:pt>
                <c:pt idx="1">
                  <c:v>Grade 2</c:v>
                </c:pt>
                <c:pt idx="2">
                  <c:v>Grade 3</c:v>
                </c:pt>
                <c:pt idx="3">
                  <c:v>Grade 4</c:v>
                </c:pt>
                <c:pt idx="4">
                  <c:v>Grade 5</c:v>
                </c:pt>
                <c:pt idx="5">
                  <c:v>Grade 6</c:v>
                </c:pt>
              </c:strCache>
            </c:strRef>
          </c:cat>
          <c:val>
            <c:numRef>
              <c:f>Sheet1!$B$2:$B$7</c:f>
              <c:numCache>
                <c:formatCode>0%</c:formatCode>
                <c:ptCount val="6"/>
                <c:pt idx="0">
                  <c:v>0.83</c:v>
                </c:pt>
                <c:pt idx="1">
                  <c:v>0.82</c:v>
                </c:pt>
                <c:pt idx="2">
                  <c:v>0.41</c:v>
                </c:pt>
                <c:pt idx="3">
                  <c:v>0.75</c:v>
                </c:pt>
                <c:pt idx="4">
                  <c:v>0.53</c:v>
                </c:pt>
                <c:pt idx="5">
                  <c:v>0.56</c:v>
                </c:pt>
              </c:numCache>
            </c:numRef>
          </c:val>
        </c:ser>
        <c:ser>
          <c:idx val="1"/>
          <c:order val="1"/>
          <c:tx>
            <c:strRef>
              <c:f>Sheet1!$C$1</c:f>
              <c:strCache>
                <c:ptCount val="1"/>
                <c:pt idx="0">
                  <c:v>Reading</c:v>
                </c:pt>
              </c:strCache>
            </c:strRef>
          </c:tx>
          <c:spPr>
            <a:solidFill>
              <a:schemeClr val="accent2"/>
            </a:solidFill>
            <a:ln>
              <a:noFill/>
            </a:ln>
            <a:effectLst/>
          </c:spPr>
          <c:invertIfNegative val="0"/>
          <c:cat>
            <c:strRef>
              <c:f>Sheet1!$A$2:$A$7</c:f>
              <c:strCache>
                <c:ptCount val="6"/>
                <c:pt idx="0">
                  <c:v>Grade 1</c:v>
                </c:pt>
                <c:pt idx="1">
                  <c:v>Grade 2</c:v>
                </c:pt>
                <c:pt idx="2">
                  <c:v>Grade 3</c:v>
                </c:pt>
                <c:pt idx="3">
                  <c:v>Grade 4</c:v>
                </c:pt>
                <c:pt idx="4">
                  <c:v>Grade 5</c:v>
                </c:pt>
                <c:pt idx="5">
                  <c:v>Grade 6</c:v>
                </c:pt>
              </c:strCache>
            </c:strRef>
          </c:cat>
          <c:val>
            <c:numRef>
              <c:f>Sheet1!$C$2:$C$7</c:f>
              <c:numCache>
                <c:formatCode>0%</c:formatCode>
                <c:ptCount val="6"/>
                <c:pt idx="0">
                  <c:v>0.24</c:v>
                </c:pt>
                <c:pt idx="1">
                  <c:v>0.65</c:v>
                </c:pt>
                <c:pt idx="2">
                  <c:v>0.52</c:v>
                </c:pt>
                <c:pt idx="3">
                  <c:v>0.44</c:v>
                </c:pt>
                <c:pt idx="4">
                  <c:v>0.36</c:v>
                </c:pt>
                <c:pt idx="5">
                  <c:v>0.35</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Sheet1!$A$2:$A$7</c:f>
              <c:strCache>
                <c:ptCount val="6"/>
                <c:pt idx="0">
                  <c:v>Grade 1</c:v>
                </c:pt>
                <c:pt idx="1">
                  <c:v>Grade 2</c:v>
                </c:pt>
                <c:pt idx="2">
                  <c:v>Grade 3</c:v>
                </c:pt>
                <c:pt idx="3">
                  <c:v>Grade 4</c:v>
                </c:pt>
                <c:pt idx="4">
                  <c:v>Grade 5</c:v>
                </c:pt>
                <c:pt idx="5">
                  <c:v>Grade 6</c:v>
                </c:pt>
              </c:strCache>
            </c:strRef>
          </c:cat>
          <c:val>
            <c:numRef>
              <c:f>Sheet1!$D$2:$D$7</c:f>
              <c:numCache>
                <c:formatCode>General</c:formatCode>
                <c:ptCount val="6"/>
              </c:numCache>
            </c:numRef>
          </c:val>
        </c:ser>
        <c:dLbls>
          <c:showLegendKey val="0"/>
          <c:showVal val="0"/>
          <c:showCatName val="0"/>
          <c:showSerName val="0"/>
          <c:showPercent val="0"/>
          <c:showBubbleSize val="0"/>
        </c:dLbls>
        <c:gapWidth val="219"/>
        <c:overlap val="-27"/>
        <c:axId val="-2080476448"/>
        <c:axId val="-2050726688"/>
      </c:barChart>
      <c:catAx>
        <c:axId val="-208047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726688"/>
        <c:crosses val="autoZero"/>
        <c:auto val="1"/>
        <c:lblAlgn val="ctr"/>
        <c:lblOffset val="100"/>
        <c:noMultiLvlLbl val="0"/>
      </c:catAx>
      <c:valAx>
        <c:axId val="-2050726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47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745A-0F10-DB42-9E2B-06D78123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2092</Words>
  <Characters>11928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Worlds Best Workforce Summary Template 2015</vt:lpstr>
    </vt:vector>
  </TitlesOfParts>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Best Workforce Summary Template 2015</dc:title>
  <dc:creator/>
  <cp:lastModifiedBy/>
  <cp:revision>1</cp:revision>
  <dcterms:created xsi:type="dcterms:W3CDTF">2016-09-26T18:57:00Z</dcterms:created>
  <dcterms:modified xsi:type="dcterms:W3CDTF">2016-09-26T19:33:00Z</dcterms:modified>
</cp:coreProperties>
</file>